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rPr>
          <w:sz w:val="22"/>
          <w:szCs w:val="28"/>
        </w:rPr>
      </w:pPr>
    </w:p>
    <w:p w14:paraId="0C6E17F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中国重汽集团济宁商用车公司</w:t>
      </w:r>
    </w:p>
    <w:p w14:paraId="1507273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济宁商用车公司涂装检测能力提升项目</w:t>
      </w:r>
    </w:p>
    <w:p w14:paraId="1B64DB91">
      <w:pPr>
        <w:pStyle w:val="21"/>
      </w:pP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default" w:ascii="宋体" w:hAnsi="宋体" w:eastAsia="宋体" w:cs="宋体"/>
          <w:b/>
          <w:bCs/>
          <w:spacing w:val="11"/>
          <w:kern w:val="0"/>
          <w:sz w:val="30"/>
          <w:szCs w:val="30"/>
          <w:lang w:val="en-US" w:eastAsia="zh-CN"/>
        </w:rPr>
      </w:pPr>
      <w:r>
        <w:rPr>
          <w:rFonts w:hint="eastAsia" w:ascii="宋体" w:hAnsi="宋体" w:cs="宋体"/>
          <w:b/>
          <w:bCs/>
          <w:spacing w:val="11"/>
          <w:kern w:val="0"/>
          <w:sz w:val="30"/>
          <w:szCs w:val="30"/>
        </w:rPr>
        <w:t>招标编号：ZBGL2026070175</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7</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keepNext w:val="0"/>
        <w:keepLines w:val="0"/>
        <w:pageBreakBefore w:val="0"/>
        <w:widowControl w:val="0"/>
        <w:numPr>
          <w:ilvl w:val="0"/>
          <w:numId w:val="0"/>
        </w:numPr>
        <w:kinsoku/>
        <w:wordWrap/>
        <w:overflowPunct/>
        <w:topLinePunct w:val="0"/>
        <w:autoSpaceDE/>
        <w:autoSpaceDN/>
        <w:bidi w:val="0"/>
        <w:jc w:val="center"/>
        <w:textAlignment w:val="auto"/>
      </w:pPr>
      <w:bookmarkStart w:id="1" w:name="_Toc1750"/>
      <w:bookmarkStart w:id="2" w:name="_Toc9937"/>
      <w:r>
        <w:rPr>
          <w:rFonts w:hint="eastAsia"/>
          <w:lang w:val="en-US" w:eastAsia="zh-CN"/>
        </w:rPr>
        <w:t xml:space="preserve">第一章 </w:t>
      </w:r>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eastAsia" w:ascii="宋体" w:hAnsi="宋体" w:eastAsia="宋体" w:cs="宋体"/>
          <w:b/>
          <w:bCs/>
          <w:spacing w:val="11"/>
          <w:kern w:val="0"/>
          <w:sz w:val="24"/>
          <w:szCs w:val="30"/>
          <w:lang w:val="en-US" w:eastAsia="zh-CN"/>
        </w:rPr>
      </w:pPr>
      <w:bookmarkStart w:id="3" w:name="_Toc20919"/>
      <w:r>
        <w:rPr>
          <w:b/>
          <w:sz w:val="24"/>
        </w:rPr>
        <w:t>项目编号：</w:t>
      </w:r>
      <w:bookmarkEnd w:id="3"/>
      <w:r>
        <w:rPr>
          <w:rFonts w:hint="eastAsia"/>
          <w:b/>
          <w:sz w:val="24"/>
          <w:lang w:val="en-US" w:eastAsia="zh-CN"/>
        </w:rPr>
        <w:t>ZBGL2026070175</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32544"/>
      <w:bookmarkStart w:id="5" w:name="_Toc14341835"/>
      <w:r>
        <w:rPr>
          <w:rFonts w:hint="eastAsia" w:ascii="宋体" w:cs="宋体"/>
          <w:b/>
          <w:kern w:val="0"/>
          <w:sz w:val="24"/>
          <w:lang w:bidi="en-US"/>
        </w:rPr>
        <w:t>1.招标条件</w:t>
      </w:r>
    </w:p>
    <w:p w14:paraId="3BD6E86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u w:val="single"/>
          <w:lang w:bidi="en-US"/>
        </w:rPr>
        <w:t>济宁商用车公司涂装检测能力提升项目</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052F60FC">
      <w:pPr>
        <w:pStyle w:val="43"/>
        <w:widowControl/>
        <w:numPr>
          <w:ilvl w:val="1"/>
          <w:numId w:val="1"/>
        </w:numPr>
        <w:adjustRightInd w:val="0"/>
        <w:snapToGrid w:val="0"/>
        <w:spacing w:line="360" w:lineRule="auto"/>
        <w:ind w:left="0" w:firstLine="480"/>
        <w:jc w:val="left"/>
        <w:rPr>
          <w:rFonts w:ascii="宋体" w:cs="宋体"/>
          <w:kern w:val="0"/>
          <w:sz w:val="24"/>
          <w:lang w:bidi="en-US"/>
        </w:rPr>
      </w:pPr>
      <w:bookmarkStart w:id="7" w:name="_Toc152045514"/>
      <w:bookmarkEnd w:id="7"/>
      <w:bookmarkStart w:id="8" w:name="_Toc144974482"/>
      <w:bookmarkEnd w:id="8"/>
      <w:bookmarkStart w:id="9" w:name="_Toc285809451"/>
      <w:bookmarkEnd w:id="9"/>
      <w:bookmarkStart w:id="10" w:name="_Toc179632530"/>
      <w:bookmarkEnd w:id="10"/>
      <w:bookmarkStart w:id="11" w:name="_Toc152042290"/>
      <w:bookmarkEnd w:id="11"/>
      <w:r>
        <w:rPr>
          <w:rFonts w:hint="eastAsia" w:ascii="宋体" w:cs="宋体"/>
          <w:kern w:val="0"/>
          <w:sz w:val="24"/>
          <w:lang w:bidi="en-US"/>
        </w:rPr>
        <w:t>项目名称：</w:t>
      </w:r>
      <w:r>
        <w:rPr>
          <w:rFonts w:hint="eastAsia" w:ascii="宋体" w:cs="宋体"/>
          <w:kern w:val="0"/>
          <w:sz w:val="24"/>
          <w:u w:val="single"/>
          <w:lang w:bidi="en-US"/>
        </w:rPr>
        <w:t>济宁商用车公司涂装检测能力提升项目</w:t>
      </w:r>
    </w:p>
    <w:p w14:paraId="35785926">
      <w:pPr>
        <w:pStyle w:val="43"/>
        <w:widowControl/>
        <w:numPr>
          <w:ilvl w:val="1"/>
          <w:numId w:val="1"/>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项目情况：</w:t>
      </w:r>
      <w:r>
        <w:rPr>
          <w:rFonts w:hint="eastAsia" w:ascii="宋体" w:cs="宋体"/>
          <w:kern w:val="0"/>
          <w:sz w:val="24"/>
          <w:lang w:val="en-US" w:eastAsia="zh-CN" w:bidi="en-US"/>
        </w:rPr>
        <w:t>新增划格器、漆膜测厚仪、铅笔硬度计、刮板细度计和粗糙度仪各1套</w:t>
      </w:r>
      <w:r>
        <w:rPr>
          <w:rFonts w:hint="eastAsia" w:ascii="宋体" w:cs="宋体"/>
          <w:kern w:val="0"/>
          <w:sz w:val="24"/>
          <w:lang w:bidi="en-US"/>
        </w:rPr>
        <w:t>。</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设备采购、</w:t>
      </w:r>
      <w:r>
        <w:rPr>
          <w:rFonts w:hint="eastAsia" w:ascii="宋体" w:hAnsi="Times New Roman" w:eastAsia="宋体" w:cs="宋体"/>
          <w:kern w:val="0"/>
          <w:sz w:val="24"/>
          <w:lang w:bidi="en-US"/>
        </w:rPr>
        <w:t>配套管路、包装运输、安装调试、交验培训和质保售后服务等内容。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1"/>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905"/>
        <w:gridCol w:w="1260"/>
        <w:gridCol w:w="1118"/>
      </w:tblGrid>
      <w:tr w14:paraId="59BB8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57A199B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序号</w:t>
            </w:r>
          </w:p>
        </w:tc>
        <w:tc>
          <w:tcPr>
            <w:tcW w:w="1755" w:type="dxa"/>
            <w:vAlign w:val="center"/>
          </w:tcPr>
          <w:p w14:paraId="3DA4FDFF">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项目内容</w:t>
            </w:r>
          </w:p>
        </w:tc>
        <w:tc>
          <w:tcPr>
            <w:tcW w:w="1515" w:type="dxa"/>
            <w:vAlign w:val="center"/>
          </w:tcPr>
          <w:p w14:paraId="69A9BDB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数量</w:t>
            </w:r>
            <w:r>
              <w:rPr>
                <w:rFonts w:hint="eastAsia" w:ascii="宋体" w:hAnsi="宋体" w:cs="宋体"/>
                <w:sz w:val="24"/>
                <w:szCs w:val="28"/>
                <w:highlight w:val="none"/>
                <w:lang w:val="en-US" w:eastAsia="zh-CN"/>
              </w:rPr>
              <w:t>（套）</w:t>
            </w:r>
          </w:p>
        </w:tc>
        <w:tc>
          <w:tcPr>
            <w:tcW w:w="1905" w:type="dxa"/>
            <w:vAlign w:val="center"/>
          </w:tcPr>
          <w:p w14:paraId="3BF7C0C7">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交货地点</w:t>
            </w:r>
          </w:p>
        </w:tc>
        <w:tc>
          <w:tcPr>
            <w:tcW w:w="1260" w:type="dxa"/>
            <w:vAlign w:val="center"/>
          </w:tcPr>
          <w:p w14:paraId="65C6744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交货方式</w:t>
            </w:r>
          </w:p>
        </w:tc>
        <w:tc>
          <w:tcPr>
            <w:tcW w:w="1118" w:type="dxa"/>
            <w:vAlign w:val="center"/>
          </w:tcPr>
          <w:p w14:paraId="2FE7B31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cs="宋体"/>
                <w:sz w:val="24"/>
                <w:szCs w:val="28"/>
                <w:highlight w:val="none"/>
                <w:lang w:val="en-US" w:eastAsia="zh-CN"/>
              </w:rPr>
              <w:t>备注</w:t>
            </w:r>
          </w:p>
        </w:tc>
      </w:tr>
      <w:tr w14:paraId="430BE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0" w:type="dxa"/>
            <w:vAlign w:val="center"/>
          </w:tcPr>
          <w:p w14:paraId="32DAEE6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1</w:t>
            </w:r>
          </w:p>
        </w:tc>
        <w:tc>
          <w:tcPr>
            <w:tcW w:w="1755" w:type="dxa"/>
            <w:vAlign w:val="center"/>
          </w:tcPr>
          <w:p w14:paraId="095E0F4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划格器</w:t>
            </w:r>
          </w:p>
        </w:tc>
        <w:tc>
          <w:tcPr>
            <w:tcW w:w="1515" w:type="dxa"/>
            <w:vAlign w:val="center"/>
          </w:tcPr>
          <w:p w14:paraId="29B58C74">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1</w:t>
            </w:r>
          </w:p>
        </w:tc>
        <w:tc>
          <w:tcPr>
            <w:tcW w:w="1905" w:type="dxa"/>
            <w:vMerge w:val="restart"/>
            <w:vAlign w:val="center"/>
          </w:tcPr>
          <w:p w14:paraId="2AC681A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kern w:val="2"/>
                <w:sz w:val="24"/>
                <w:szCs w:val="28"/>
                <w:highlight w:val="none"/>
                <w:lang w:val="en-US" w:eastAsia="zh-CN" w:bidi="ar-SA"/>
              </w:rPr>
              <w:t>山东省济宁市诗仙路369号济宁商用车厂区</w:t>
            </w:r>
          </w:p>
        </w:tc>
        <w:tc>
          <w:tcPr>
            <w:tcW w:w="1260" w:type="dxa"/>
            <w:vMerge w:val="restart"/>
            <w:vAlign w:val="center"/>
          </w:tcPr>
          <w:p w14:paraId="1FB7997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交钥匙方式</w:t>
            </w:r>
          </w:p>
        </w:tc>
        <w:tc>
          <w:tcPr>
            <w:tcW w:w="1118" w:type="dxa"/>
            <w:vMerge w:val="restart"/>
            <w:vAlign w:val="center"/>
          </w:tcPr>
          <w:p w14:paraId="7B410E70">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sz w:val="22"/>
                <w:szCs w:val="22"/>
                <w:highlight w:val="none"/>
                <w:lang w:val="en-US" w:eastAsia="zh-CN"/>
              </w:rPr>
              <w:t>详见标书技术要求</w:t>
            </w:r>
          </w:p>
        </w:tc>
      </w:tr>
      <w:tr w14:paraId="7C8E3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66D8820C">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2</w:t>
            </w:r>
          </w:p>
        </w:tc>
        <w:tc>
          <w:tcPr>
            <w:tcW w:w="1755" w:type="dxa"/>
            <w:vAlign w:val="center"/>
          </w:tcPr>
          <w:p w14:paraId="40E8B90C">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漆膜测厚仪</w:t>
            </w:r>
          </w:p>
        </w:tc>
        <w:tc>
          <w:tcPr>
            <w:tcW w:w="1515" w:type="dxa"/>
            <w:vAlign w:val="center"/>
          </w:tcPr>
          <w:p w14:paraId="5D008536">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7AE14077">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4DFDE3B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6DEA821">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2BB1C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5E27330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3</w:t>
            </w:r>
          </w:p>
        </w:tc>
        <w:tc>
          <w:tcPr>
            <w:tcW w:w="1755" w:type="dxa"/>
            <w:vAlign w:val="center"/>
          </w:tcPr>
          <w:p w14:paraId="2DC84D8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铅笔硬度计</w:t>
            </w:r>
          </w:p>
        </w:tc>
        <w:tc>
          <w:tcPr>
            <w:tcW w:w="1515" w:type="dxa"/>
            <w:vAlign w:val="center"/>
          </w:tcPr>
          <w:p w14:paraId="5748292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45852C05">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65F455A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5EE330D">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5472B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4DB90A42">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4</w:t>
            </w:r>
          </w:p>
        </w:tc>
        <w:tc>
          <w:tcPr>
            <w:tcW w:w="1755" w:type="dxa"/>
            <w:vAlign w:val="center"/>
          </w:tcPr>
          <w:p w14:paraId="5863DD5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刮板细度计</w:t>
            </w:r>
          </w:p>
        </w:tc>
        <w:tc>
          <w:tcPr>
            <w:tcW w:w="1515" w:type="dxa"/>
            <w:vAlign w:val="center"/>
          </w:tcPr>
          <w:p w14:paraId="618F16C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5D98B8C4">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0E92899F">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7B9B956F">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16486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5138CF5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5</w:t>
            </w:r>
          </w:p>
        </w:tc>
        <w:tc>
          <w:tcPr>
            <w:tcW w:w="1755" w:type="dxa"/>
            <w:vAlign w:val="center"/>
          </w:tcPr>
          <w:p w14:paraId="2B95423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粗糙度仪</w:t>
            </w:r>
          </w:p>
        </w:tc>
        <w:tc>
          <w:tcPr>
            <w:tcW w:w="1515" w:type="dxa"/>
            <w:vAlign w:val="center"/>
          </w:tcPr>
          <w:p w14:paraId="4C72E65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1D78B990">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2F4B185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0DB2D3D">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bl>
    <w:p w14:paraId="0F501D08">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2"/>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50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2"/>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2" w:name="_Hlk137561088"/>
      <w:r>
        <w:rPr>
          <w:rFonts w:hint="eastAsia" w:ascii="宋体"/>
          <w:kern w:val="0"/>
          <w:sz w:val="24"/>
          <w:szCs w:val="21"/>
          <w:highlight w:val="none"/>
          <w:lang w:bidi="en-US"/>
        </w:rPr>
        <w:t>至少3项类似项目</w:t>
      </w:r>
      <w:bookmarkEnd w:id="12"/>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w:t>
      </w:r>
      <w:r>
        <w:rPr>
          <w:rFonts w:hint="eastAsia" w:ascii="宋体" w:hAnsi="宋体"/>
          <w:b/>
          <w:bCs/>
          <w:kern w:val="0"/>
          <w:sz w:val="24"/>
          <w:szCs w:val="21"/>
          <w:highlight w:val="none"/>
          <w:lang w:bidi="en-US"/>
        </w:rPr>
        <w:t>近三年指202</w:t>
      </w:r>
      <w:r>
        <w:rPr>
          <w:rFonts w:hint="eastAsia" w:ascii="宋体" w:hAnsi="宋体"/>
          <w:b/>
          <w:bCs/>
          <w:kern w:val="0"/>
          <w:sz w:val="24"/>
          <w:szCs w:val="21"/>
          <w:highlight w:val="none"/>
          <w:lang w:val="en-US" w:eastAsia="zh-CN" w:bidi="en-US"/>
        </w:rPr>
        <w:t>3</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4</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5</w:t>
      </w:r>
      <w:r>
        <w:rPr>
          <w:rFonts w:hint="eastAsia" w:ascii="宋体" w:hAnsi="宋体"/>
          <w:b/>
          <w:bCs/>
          <w:kern w:val="0"/>
          <w:sz w:val="24"/>
          <w:szCs w:val="21"/>
          <w:highlight w:val="none"/>
          <w:lang w:bidi="en-US"/>
        </w:rPr>
        <w:t>年</w:t>
      </w:r>
      <w:r>
        <w:rPr>
          <w:rFonts w:hint="eastAsia" w:ascii="宋体" w:hAnsi="宋体"/>
          <w:kern w:val="0"/>
          <w:sz w:val="24"/>
          <w:szCs w:val="21"/>
          <w:highlight w:val="none"/>
          <w:lang w:bidi="en-US"/>
        </w:rPr>
        <w:t>），要求包含近一个月银行企业信用报告。</w:t>
      </w:r>
    </w:p>
    <w:p w14:paraId="56AD961E">
      <w:pPr>
        <w:pStyle w:val="43"/>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2"/>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对代理商和联合体投标的要求：本项目不接受联合体投标；接受代理商投标，如为代理商投标，需获得生产厂家正式授权，保证提供原厂售后服务,</w:t>
      </w:r>
      <w:r>
        <w:rPr>
          <w:rFonts w:hint="eastAsia" w:ascii="宋体"/>
          <w:b/>
          <w:bCs/>
          <w:kern w:val="0"/>
          <w:sz w:val="24"/>
          <w:szCs w:val="21"/>
          <w:highlight w:val="none"/>
          <w:shd w:val="clear" w:color="auto" w:fill="FFFFFF" w:themeFill="background1"/>
          <w:lang w:bidi="en-US"/>
        </w:rPr>
        <w:t>出具代理商与生产厂家同责保证书（</w:t>
      </w:r>
      <w:r>
        <w:rPr>
          <w:rFonts w:hint="eastAsia" w:ascii="宋体"/>
          <w:b/>
          <w:bCs/>
          <w:kern w:val="0"/>
          <w:sz w:val="24"/>
          <w:szCs w:val="21"/>
          <w:highlight w:val="none"/>
          <w:shd w:val="clear" w:color="auto" w:fill="FFFFFF" w:themeFill="background1"/>
          <w:lang w:val="en-US" w:eastAsia="zh-CN" w:bidi="en-US"/>
        </w:rPr>
        <w:t>附到</w:t>
      </w:r>
      <w:r>
        <w:rPr>
          <w:rFonts w:hint="eastAsia" w:ascii="宋体" w:cs="宋体"/>
          <w:b/>
          <w:bCs/>
          <w:color w:val="000000"/>
          <w:sz w:val="24"/>
          <w:u w:val="none"/>
          <w:lang w:bidi="ar"/>
        </w:rPr>
        <w:t>报名资料</w:t>
      </w:r>
      <w:r>
        <w:rPr>
          <w:rFonts w:hint="eastAsia" w:ascii="宋体" w:cs="宋体"/>
          <w:b/>
          <w:bCs/>
          <w:color w:val="000000"/>
          <w:sz w:val="24"/>
          <w:u w:val="none"/>
          <w:lang w:val="en-US" w:eastAsia="zh-CN" w:bidi="ar"/>
        </w:rPr>
        <w:t>中</w:t>
      </w:r>
      <w:r>
        <w:rPr>
          <w:rFonts w:hint="eastAsia" w:ascii="宋体"/>
          <w:b/>
          <w:bCs/>
          <w:kern w:val="0"/>
          <w:sz w:val="24"/>
          <w:szCs w:val="21"/>
          <w:highlight w:val="none"/>
          <w:shd w:val="clear" w:color="auto" w:fill="FFFFFF" w:themeFill="background1"/>
          <w:lang w:bidi="en-US"/>
        </w:rPr>
        <w:t>）</w:t>
      </w:r>
      <w:r>
        <w:rPr>
          <w:rFonts w:hint="eastAsia" w:ascii="宋体" w:cs="宋体"/>
          <w:b/>
          <w:bCs/>
          <w:sz w:val="24"/>
          <w:highlight w:val="none"/>
          <w:lang w:bidi="ar"/>
        </w:rPr>
        <w:t>。</w:t>
      </w:r>
    </w:p>
    <w:p w14:paraId="7A2574F6">
      <w:pPr>
        <w:pStyle w:val="43"/>
        <w:widowControl/>
        <w:numPr>
          <w:ilvl w:val="1"/>
          <w:numId w:val="2"/>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2"/>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2"/>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7</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17</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7</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22</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3"/>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3"/>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7943D6C0">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kern w:val="0"/>
          <w:sz w:val="24"/>
          <w:szCs w:val="21"/>
          <w:lang w:bidi="en-US"/>
        </w:rPr>
        <w:t>生产厂家正式授权</w:t>
      </w:r>
      <w:r>
        <w:rPr>
          <w:rFonts w:hint="eastAsia"/>
          <w:kern w:val="0"/>
          <w:sz w:val="24"/>
          <w:szCs w:val="21"/>
          <w:lang w:val="en-US" w:eastAsia="zh-CN" w:bidi="en-US"/>
        </w:rPr>
        <w:t>书（</w:t>
      </w:r>
      <w:r>
        <w:rPr>
          <w:rFonts w:hint="eastAsia"/>
          <w:b/>
          <w:bCs/>
          <w:kern w:val="0"/>
          <w:sz w:val="24"/>
          <w:szCs w:val="21"/>
          <w:lang w:val="en-US" w:eastAsia="zh-CN" w:bidi="en-US"/>
        </w:rPr>
        <w:t>授权书内容需满足招标公告3.5要求</w:t>
      </w:r>
      <w:r>
        <w:rPr>
          <w:rFonts w:hint="eastAsia"/>
          <w:kern w:val="0"/>
          <w:sz w:val="24"/>
          <w:szCs w:val="21"/>
          <w:lang w:bidi="en-US"/>
        </w:rPr>
        <w:t>）。</w:t>
      </w:r>
    </w:p>
    <w:p w14:paraId="7C7A62CE">
      <w:pPr>
        <w:pStyle w:val="43"/>
        <w:widowControl/>
        <w:numPr>
          <w:ilvl w:val="0"/>
          <w:numId w:val="3"/>
        </w:numPr>
        <w:adjustRightInd w:val="0"/>
        <w:snapToGrid w:val="0"/>
        <w:spacing w:line="360" w:lineRule="auto"/>
        <w:ind w:left="0" w:firstLine="480"/>
        <w:jc w:val="left"/>
        <w:rPr>
          <w:kern w:val="0"/>
          <w:sz w:val="24"/>
          <w:szCs w:val="21"/>
          <w:lang w:bidi="en-US"/>
        </w:rPr>
      </w:pPr>
      <w:r>
        <w:rPr>
          <w:rFonts w:hint="eastAsia" w:ascii="宋体" w:cs="宋体"/>
          <w:kern w:val="0"/>
          <w:sz w:val="24"/>
          <w:highlight w:val="none"/>
        </w:rPr>
        <w:t>投保保证金</w:t>
      </w:r>
      <w:r>
        <w:rPr>
          <w:rFonts w:hint="eastAsia" w:ascii="宋体" w:cs="宋体"/>
          <w:kern w:val="0"/>
          <w:sz w:val="24"/>
          <w:highlight w:val="none"/>
          <w:lang w:val="en-US" w:eastAsia="zh-CN"/>
        </w:rPr>
        <w:t>银行汇款截图。</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b/>
          <w:bCs/>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w:t>
      </w:r>
      <w:r>
        <w:rPr>
          <w:rFonts w:hint="eastAsia"/>
          <w:kern w:val="0"/>
          <w:sz w:val="24"/>
          <w:szCs w:val="21"/>
          <w:lang w:val="en-US" w:eastAsia="zh-CN" w:bidi="en-US"/>
        </w:rPr>
        <w:t>按照上述</w:t>
      </w:r>
      <w:r>
        <w:rPr>
          <w:rFonts w:hint="eastAsia"/>
          <w:b/>
          <w:bCs/>
          <w:kern w:val="0"/>
          <w:sz w:val="24"/>
          <w:szCs w:val="21"/>
          <w:lang w:val="en-US" w:eastAsia="zh-CN" w:bidi="en-US"/>
        </w:rPr>
        <w:t>序号顺序</w:t>
      </w:r>
      <w:r>
        <w:rPr>
          <w:rFonts w:hint="eastAsia"/>
          <w:kern w:val="0"/>
          <w:sz w:val="24"/>
          <w:szCs w:val="21"/>
          <w:lang w:bidi="en-US"/>
        </w:rPr>
        <w:t>扫描汇总形成</w:t>
      </w:r>
      <w:r>
        <w:rPr>
          <w:rFonts w:hint="eastAsia"/>
          <w:b/>
          <w:bCs/>
          <w:kern w:val="0"/>
          <w:sz w:val="24"/>
          <w:szCs w:val="21"/>
          <w:lang w:bidi="en-US"/>
        </w:rPr>
        <w:t>1个PDF格式文件</w:t>
      </w:r>
      <w:r>
        <w:rPr>
          <w:rFonts w:hint="eastAsia"/>
          <w:kern w:val="0"/>
          <w:sz w:val="24"/>
          <w:szCs w:val="21"/>
          <w:lang w:bidi="en-US"/>
        </w:rPr>
        <w:t>，发送至上述指定邮箱，并设置邮件名称为“公司名称+项目名称”，</w:t>
      </w:r>
      <w:r>
        <w:rPr>
          <w:rFonts w:hint="eastAsia"/>
          <w:b/>
          <w:bCs/>
          <w:kern w:val="0"/>
          <w:sz w:val="24"/>
          <w:szCs w:val="21"/>
          <w:u w:val="single"/>
          <w:lang w:bidi="en-US"/>
        </w:rPr>
        <w:t>若上述资料不全或扫描件不清晰无法辨认的则会影响报名成功</w:t>
      </w:r>
      <w:r>
        <w:rPr>
          <w:rFonts w:hint="eastAsia"/>
          <w:b/>
          <w:bCs/>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40B0F95">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lang w:eastAsia="zh-CN"/>
          <w14:textFill>
            <w14:solidFill>
              <w14:schemeClr w14:val="tx1"/>
            </w14:solidFill>
          </w14:textFill>
        </w:rPr>
        <w:t>（</w:t>
      </w:r>
      <w:r>
        <w:rPr>
          <w:rStyle w:val="37"/>
          <w:rFonts w:hint="eastAsia" w:ascii="宋体" w:cs="宋体"/>
          <w:color w:val="000000" w:themeColor="text1"/>
          <w:sz w:val="24"/>
          <w:lang w:val="en-US" w:eastAsia="zh-CN"/>
          <w14:textFill>
            <w14:solidFill>
              <w14:schemeClr w14:val="tx1"/>
            </w14:solidFill>
          </w14:textFill>
        </w:rPr>
        <w:t>详细操作步骤详见</w:t>
      </w:r>
      <w:r>
        <w:rPr>
          <w:rFonts w:hint="eastAsia" w:ascii="宋体"/>
          <w:b w:val="0"/>
          <w:bCs w:val="0"/>
          <w:sz w:val="24"/>
        </w:rPr>
        <w:t>附件6</w:t>
      </w:r>
      <w:r>
        <w:rPr>
          <w:rStyle w:val="37"/>
          <w:rFonts w:hint="eastAsia" w:ascii="宋体" w:cs="宋体"/>
          <w:b w:val="0"/>
          <w:bCs w:val="0"/>
          <w:color w:val="000000" w:themeColor="text1"/>
          <w:sz w:val="24"/>
          <w:lang w:eastAsia="zh-CN"/>
          <w14:textFill>
            <w14:solidFill>
              <w14:schemeClr w14:val="tx1"/>
            </w14:solidFill>
          </w14:textFill>
        </w:rPr>
        <w:t>）</w:t>
      </w:r>
      <w:r>
        <w:rPr>
          <w:rStyle w:val="37"/>
          <w:rFonts w:hint="eastAsia" w:ascii="宋体" w:cs="宋体"/>
          <w:color w:val="auto"/>
          <w:sz w:val="24"/>
        </w:rPr>
        <w:t>。</w:t>
      </w:r>
      <w:r>
        <w:rPr>
          <w:rFonts w:hint="eastAsia" w:ascii="宋体" w:cs="宋体"/>
          <w:b/>
          <w:bCs/>
          <w:sz w:val="24"/>
          <w:lang w:bidi="ar"/>
        </w:rPr>
        <w:t>请投标人确认中国重汽e采通系统中供应商信息完整、准确，因供应商信息不全或错误导致的报名不成功，由投标人自行承担。数据依据为报名单位提供的</w:t>
      </w:r>
      <w:r>
        <w:rPr>
          <w:rFonts w:hint="eastAsia" w:ascii="宋体" w:cs="宋体"/>
          <w:b/>
          <w:bCs/>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w:t>
      </w:r>
      <w:r>
        <w:rPr>
          <w:rFonts w:hint="eastAsia" w:ascii="宋体" w:cs="宋体"/>
          <w:b/>
          <w:bCs/>
          <w:color w:val="FF0000"/>
          <w:sz w:val="24"/>
          <w:highlight w:val="none"/>
          <w:lang w:bidi="ar"/>
        </w:rPr>
        <w:t>，e采通注册时未填报财务数据的，将无法提交应标资料并无法参加投标，</w:t>
      </w:r>
      <w:r>
        <w:rPr>
          <w:rFonts w:hint="eastAsia" w:ascii="宋体" w:hAnsi="宋体" w:eastAsia="宋体" w:cs="宋体"/>
          <w:b/>
          <w:bCs/>
          <w:color w:val="FF0000"/>
          <w:sz w:val="24"/>
          <w:szCs w:val="24"/>
          <w:highlight w:val="none"/>
        </w:rPr>
        <w:t>已注册的投标人</w:t>
      </w:r>
      <w:r>
        <w:rPr>
          <w:rFonts w:hint="eastAsia" w:ascii="宋体" w:hAnsi="宋体" w:eastAsia="宋体" w:cs="宋体"/>
          <w:b/>
          <w:bCs/>
          <w:color w:val="FF0000"/>
          <w:sz w:val="24"/>
          <w:szCs w:val="24"/>
          <w:highlight w:val="none"/>
          <w:lang w:val="en-US" w:eastAsia="zh-CN"/>
        </w:rPr>
        <w:t>请登录</w:t>
      </w:r>
      <w:r>
        <w:rPr>
          <w:rFonts w:hint="eastAsia" w:ascii="宋体" w:hAnsi="宋体" w:eastAsia="宋体" w:cs="宋体"/>
          <w:b/>
          <w:bCs/>
          <w:color w:val="FF0000"/>
          <w:sz w:val="24"/>
          <w:szCs w:val="24"/>
          <w:highlight w:val="none"/>
        </w:rPr>
        <w:t>重汽e采通平台</w:t>
      </w:r>
      <w:r>
        <w:rPr>
          <w:rFonts w:hint="eastAsia" w:ascii="宋体" w:hAnsi="宋体" w:eastAsia="宋体" w:cs="宋体"/>
          <w:b/>
          <w:bCs/>
          <w:color w:val="FF0000"/>
          <w:sz w:val="24"/>
          <w:szCs w:val="24"/>
          <w:highlight w:val="none"/>
          <w:lang w:val="en-US" w:eastAsia="zh-CN"/>
        </w:rPr>
        <w:t>自行</w:t>
      </w:r>
      <w:r>
        <w:rPr>
          <w:rFonts w:hint="eastAsia" w:ascii="宋体" w:hAnsi="宋体" w:eastAsia="宋体" w:cs="宋体"/>
          <w:b/>
          <w:bCs/>
          <w:color w:val="FF0000"/>
          <w:sz w:val="24"/>
          <w:szCs w:val="24"/>
          <w:highlight w:val="none"/>
        </w:rPr>
        <w:t>检查更新近三年的经营概况，财务信息更新到近三年，且不许有空余，若因此造成应标不成功，后果由投标人自行承担。（更新路径：重汽e采通-供应商中心-供应商变更-供应商财务数据变更管理-右上角：发起变更）</w:t>
      </w:r>
    </w:p>
    <w:p w14:paraId="02860ABF">
      <w:pPr>
        <w:widowControl/>
        <w:adjustRightInd w:val="0"/>
        <w:snapToGrid w:val="0"/>
        <w:spacing w:line="360" w:lineRule="auto"/>
        <w:ind w:firstLine="480" w:firstLineChars="200"/>
        <w:jc w:val="left"/>
        <w:rPr>
          <w:rFonts w:hint="eastAsia" w:ascii="宋体"/>
          <w:b/>
          <w:bCs/>
          <w:sz w:val="24"/>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w:t>
      </w:r>
      <w:r>
        <w:rPr>
          <w:rFonts w:hint="eastAsia" w:ascii="宋体"/>
          <w:b/>
          <w:bCs/>
          <w:sz w:val="24"/>
          <w:lang w:eastAsia="zh-CN"/>
        </w:rPr>
        <w:t>（</w:t>
      </w:r>
      <w:r>
        <w:rPr>
          <w:rFonts w:hint="eastAsia" w:ascii="宋体"/>
          <w:b/>
          <w:bCs/>
          <w:sz w:val="24"/>
          <w:highlight w:val="red"/>
          <w:lang w:val="en-US" w:eastAsia="zh-CN"/>
        </w:rPr>
        <w:t>注册通过需要多天时间，请意向投标方提前完成注册，避免耽误应标时间</w:t>
      </w:r>
      <w:r>
        <w:rPr>
          <w:rFonts w:hint="eastAsia" w:ascii="宋体"/>
          <w:b/>
          <w:bCs/>
          <w:sz w:val="24"/>
          <w:lang w:eastAsia="zh-CN"/>
        </w:rPr>
        <w:t>）</w:t>
      </w:r>
      <w:r>
        <w:rPr>
          <w:rFonts w:hint="eastAsia" w:ascii="宋体"/>
          <w:b/>
          <w:bCs/>
          <w:sz w:val="24"/>
        </w:rPr>
        <w:t>，审核通过后请电话告知招标方联系人。</w:t>
      </w:r>
    </w:p>
    <w:p w14:paraId="20723CBD">
      <w:pPr>
        <w:widowControl/>
        <w:adjustRightInd w:val="0"/>
        <w:snapToGrid w:val="0"/>
        <w:spacing w:line="360" w:lineRule="auto"/>
        <w:ind w:firstLine="480" w:firstLineChars="200"/>
        <w:rPr>
          <w:rFonts w:hint="eastAsia" w:ascii="宋体"/>
          <w:b/>
          <w:bCs/>
          <w:sz w:val="24"/>
          <w:highlight w:val="none"/>
        </w:rPr>
      </w:pPr>
      <w:r>
        <w:rPr>
          <w:rFonts w:hint="eastAsia"/>
          <w:color w:val="FF0000"/>
          <w:kern w:val="0"/>
          <w:sz w:val="24"/>
          <w:szCs w:val="21"/>
          <w:highlight w:val="none"/>
          <w:lang w:val="en-US" w:eastAsia="zh-CN" w:bidi="en-US"/>
        </w:rPr>
        <w:t>4.</w:t>
      </w:r>
      <w:r>
        <w:rPr>
          <w:rFonts w:hint="eastAsia" w:ascii="宋体" w:cs="宋体"/>
          <w:b/>
          <w:bCs/>
          <w:color w:val="FF0000"/>
          <w:kern w:val="0"/>
          <w:sz w:val="24"/>
          <w:highlight w:val="none"/>
          <w:u w:val="none"/>
          <w:lang w:val="en-US" w:eastAsia="zh-CN" w:bidi="en-US"/>
        </w:rPr>
        <w:t>收到工作人员回复邮件（含招标文件）视为报名成功通知，请收到回复邮件后</w:t>
      </w:r>
      <w:r>
        <w:rPr>
          <w:rFonts w:hint="eastAsia" w:ascii="宋体" w:cs="宋体"/>
          <w:b/>
          <w:bCs/>
          <w:color w:val="FF0000"/>
          <w:kern w:val="0"/>
          <w:sz w:val="24"/>
          <w:highlight w:val="none"/>
          <w:u w:val="single"/>
          <w:lang w:val="en-US" w:eastAsia="zh-CN" w:bidi="en-US"/>
        </w:rPr>
        <w:t>再</w:t>
      </w:r>
      <w:r>
        <w:rPr>
          <w:rFonts w:hint="eastAsia" w:ascii="宋体" w:cs="宋体"/>
          <w:b/>
          <w:bCs/>
          <w:color w:val="FF0000"/>
          <w:kern w:val="0"/>
          <w:sz w:val="24"/>
          <w:highlight w:val="none"/>
          <w:u w:val="none"/>
          <w:lang w:val="en-US" w:eastAsia="zh-CN" w:bidi="en-US"/>
        </w:rPr>
        <w:t>于E采通系统上进行应标，截止时间2026年7月22日17:00，两个步骤完成后视为应标成功（严格按照时间节点执行，请投标方合理安排时间，提前完成相关工作）。</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w:t>
      </w:r>
      <w:r>
        <w:rPr>
          <w:rFonts w:hint="eastAsia" w:ascii="宋体" w:cs="宋体"/>
          <w:b/>
          <w:bCs/>
          <w:kern w:val="0"/>
          <w:sz w:val="24"/>
          <w:lang w:bidi="en-US"/>
        </w:rPr>
        <w:t>第二章 投标人须知</w:t>
      </w:r>
      <w:r>
        <w:rPr>
          <w:rFonts w:hint="eastAsia" w:ascii="宋体" w:cs="宋体"/>
          <w:kern w:val="0"/>
          <w:sz w:val="24"/>
          <w:lang w:bidi="en-US"/>
        </w:rPr>
        <w:t>。</w:t>
      </w:r>
    </w:p>
    <w:p w14:paraId="0A0942CE">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7</w:t>
      </w:r>
      <w:r>
        <w:rPr>
          <w:rFonts w:hint="eastAsia" w:ascii="宋体" w:cs="宋体"/>
          <w:kern w:val="0"/>
          <w:sz w:val="24"/>
          <w:lang w:bidi="en-US"/>
        </w:rPr>
        <w:t>月</w:t>
      </w:r>
      <w:r>
        <w:rPr>
          <w:rFonts w:hint="eastAsia" w:ascii="宋体" w:cs="宋体"/>
          <w:kern w:val="0"/>
          <w:sz w:val="24"/>
          <w:u w:val="single"/>
          <w:lang w:val="en-US" w:eastAsia="zh-CN" w:bidi="en-US"/>
        </w:rPr>
        <w:t>28</w:t>
      </w:r>
      <w:r>
        <w:rPr>
          <w:rFonts w:hint="eastAsia" w:ascii="宋体" w:cs="宋体"/>
          <w:kern w:val="0"/>
          <w:sz w:val="24"/>
          <w:lang w:bidi="en-US"/>
        </w:rPr>
        <w:t>日</w:t>
      </w:r>
      <w:r>
        <w:rPr>
          <w:rFonts w:hint="eastAsia" w:ascii="宋体" w:cs="宋体"/>
          <w:kern w:val="0"/>
          <w:sz w:val="24"/>
          <w:lang w:val="en-US" w:eastAsia="zh-CN" w:bidi="en-US"/>
        </w:rPr>
        <w:t>上</w:t>
      </w:r>
      <w:r>
        <w:rPr>
          <w:rFonts w:hint="eastAsia" w:ascii="宋体" w:cs="宋体"/>
          <w:kern w:val="0"/>
          <w:sz w:val="24"/>
          <w:lang w:bidi="en-US"/>
        </w:rPr>
        <w:t>午</w:t>
      </w:r>
      <w:r>
        <w:rPr>
          <w:rFonts w:hint="eastAsia" w:ascii="宋体" w:cs="宋体"/>
          <w:kern w:val="0"/>
          <w:sz w:val="24"/>
          <w:u w:val="single"/>
          <w:lang w:val="en-US" w:eastAsia="zh-CN" w:bidi="en-US"/>
        </w:rPr>
        <w:t>9</w:t>
      </w:r>
      <w:r>
        <w:rPr>
          <w:rFonts w:hint="eastAsia" w:ascii="宋体" w:cs="宋体"/>
          <w:kern w:val="0"/>
          <w:sz w:val="24"/>
          <w:lang w:bidi="en-US"/>
        </w:rPr>
        <w:t>点</w:t>
      </w:r>
      <w:r>
        <w:rPr>
          <w:rFonts w:hint="eastAsia" w:ascii="宋体" w:cs="宋体"/>
          <w:kern w:val="0"/>
          <w:sz w:val="24"/>
          <w:u w:val="single"/>
          <w:lang w:val="en-US" w:eastAsia="zh-CN" w:bidi="en-US"/>
        </w:rPr>
        <w:t>00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3" w:name="_Toc234382576"/>
      <w:bookmarkEnd w:id="13"/>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val="en-US" w:eastAsia="zh-CN" w:bidi="en-US"/>
        </w:rPr>
        <w:t>商务</w:t>
      </w:r>
      <w:r>
        <w:rPr>
          <w:rFonts w:hint="eastAsia" w:ascii="宋体" w:cs="宋体"/>
          <w:kern w:val="0"/>
          <w:sz w:val="24"/>
          <w:lang w:bidi="en-US"/>
        </w:rPr>
        <w:t>联系人：</w:t>
      </w:r>
      <w:r>
        <w:rPr>
          <w:rFonts w:hint="eastAsia" w:ascii="宋体" w:cs="宋体"/>
          <w:kern w:val="0"/>
          <w:sz w:val="24"/>
          <w:lang w:val="en-US" w:eastAsia="zh-CN" w:bidi="en-US"/>
        </w:rPr>
        <w:t xml:space="preserve">陈鹤      </w:t>
      </w:r>
    </w:p>
    <w:p w14:paraId="552E66EB">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联系方式：</w:t>
      </w:r>
      <w:r>
        <w:rPr>
          <w:rFonts w:hint="eastAsia" w:ascii="宋体" w:cs="宋体"/>
          <w:kern w:val="0"/>
          <w:sz w:val="24"/>
          <w:lang w:val="en-US" w:eastAsia="zh-CN" w:bidi="en-US"/>
        </w:rPr>
        <w:t>15269740161</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w:t>
      </w:r>
      <w:r>
        <w:rPr>
          <w:rFonts w:hint="eastAsia" w:ascii="宋体" w:cs="宋体"/>
          <w:kern w:val="0"/>
          <w:sz w:val="24"/>
          <w:lang w:bidi="en-US"/>
        </w:rPr>
        <w:fldChar w:fldCharType="begin"/>
      </w:r>
      <w:r>
        <w:rPr>
          <w:rFonts w:hint="eastAsia" w:ascii="宋体" w:cs="宋体"/>
          <w:kern w:val="0"/>
          <w:sz w:val="24"/>
          <w:lang w:bidi="en-US"/>
        </w:rPr>
        <w:instrText xml:space="preserve"> HYPERLINK "mailto:chenhe@sinotruk.com" </w:instrText>
      </w:r>
      <w:r>
        <w:rPr>
          <w:rFonts w:hint="eastAsia" w:ascii="宋体" w:cs="宋体"/>
          <w:kern w:val="0"/>
          <w:sz w:val="24"/>
          <w:lang w:bidi="en-US"/>
        </w:rPr>
        <w:fldChar w:fldCharType="separate"/>
      </w:r>
      <w:r>
        <w:rPr>
          <w:rStyle w:val="37"/>
          <w:rFonts w:hint="eastAsia" w:ascii="宋体" w:cs="宋体"/>
          <w:kern w:val="0"/>
          <w:sz w:val="24"/>
          <w:lang w:bidi="en-US"/>
        </w:rPr>
        <w:t>chenhe@sinotruk.com</w:t>
      </w:r>
      <w:r>
        <w:rPr>
          <w:rFonts w:hint="eastAsia" w:ascii="宋体" w:cs="宋体"/>
          <w:kern w:val="0"/>
          <w:sz w:val="24"/>
          <w:lang w:bidi="en-US"/>
        </w:rPr>
        <w:fldChar w:fldCharType="end"/>
      </w:r>
    </w:p>
    <w:p w14:paraId="29710580">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技术联系人：郏书党</w:t>
      </w:r>
    </w:p>
    <w:p w14:paraId="76669994">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电话：15895952960</w:t>
      </w:r>
    </w:p>
    <w:p w14:paraId="099B4BB8">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电子邮件：jiashudang@sinotruk.com</w:t>
      </w:r>
    </w:p>
    <w:p w14:paraId="5F111429">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17</w:t>
      </w:r>
      <w:r>
        <w:rPr>
          <w:rFonts w:hint="eastAsia" w:ascii="宋体"/>
          <w:kern w:val="0"/>
          <w:sz w:val="24"/>
          <w:szCs w:val="21"/>
          <w:lang w:bidi="en-US"/>
        </w:rPr>
        <w:t>日</w:t>
      </w:r>
    </w:p>
    <w:p w14:paraId="54D35265">
      <w:pPr>
        <w:widowControl/>
        <w:adjustRightInd w:val="0"/>
        <w:snapToGrid w:val="0"/>
        <w:spacing w:line="312" w:lineRule="auto"/>
        <w:ind w:firstLine="480" w:firstLineChars="200"/>
        <w:jc w:val="right"/>
        <w:rPr>
          <w:rFonts w:hint="eastAsia" w:ascii="宋体"/>
          <w:kern w:val="0"/>
          <w:sz w:val="24"/>
          <w:szCs w:val="21"/>
          <w:lang w:bidi="en-US"/>
        </w:rPr>
      </w:pPr>
    </w:p>
    <w:p w14:paraId="6AF659A0">
      <w:pPr>
        <w:widowControl/>
        <w:adjustRightInd w:val="0"/>
        <w:snapToGrid w:val="0"/>
        <w:spacing w:line="360" w:lineRule="auto"/>
        <w:ind w:firstLine="482" w:firstLineChars="200"/>
        <w:jc w:val="left"/>
        <w:rPr>
          <w:rFonts w:hint="default" w:ascii="宋体"/>
          <w:b/>
          <w:bCs/>
          <w:color w:val="FF0000"/>
          <w:sz w:val="24"/>
          <w:lang w:val="en-US"/>
        </w:rPr>
      </w:pPr>
      <w:r>
        <w:rPr>
          <w:rFonts w:hint="eastAsia" w:ascii="宋体"/>
          <w:b/>
          <w:bCs/>
          <w:color w:val="FF0000"/>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36010783">
      <w:pPr>
        <w:widowControl/>
        <w:jc w:val="left"/>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3</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2"/>
        <w:rPr>
          <w:sz w:val="24"/>
        </w:rPr>
      </w:pPr>
    </w:p>
    <w:p w14:paraId="57936170">
      <w:pPr>
        <w:pStyle w:val="12"/>
        <w:tabs>
          <w:tab w:val="left" w:pos="4820"/>
        </w:tabs>
        <w:rPr>
          <w:sz w:val="24"/>
        </w:rPr>
      </w:pPr>
      <w:r>
        <w:rPr>
          <w:sz w:val="24"/>
        </w:rPr>
        <w:tab/>
      </w:r>
      <w:r>
        <w:rPr>
          <w:rFonts w:hint="eastAsia"/>
          <w:sz w:val="24"/>
        </w:rPr>
        <w:t>法定代表人（签字或盖章）</w:t>
      </w:r>
    </w:p>
    <w:p w14:paraId="3DBB299F">
      <w:pPr>
        <w:pStyle w:val="12"/>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117BE92D">
      <w:pPr>
        <w:autoSpaceDE w:val="0"/>
        <w:autoSpaceDN w:val="0"/>
        <w:rPr>
          <w:sz w:val="30"/>
          <w:szCs w:val="30"/>
        </w:rPr>
      </w:pPr>
      <w:r>
        <w:rPr>
          <w:rFonts w:hint="eastAsia"/>
          <w:sz w:val="30"/>
          <w:szCs w:val="30"/>
        </w:rPr>
        <w:t>附件</w:t>
      </w:r>
      <w:r>
        <w:rPr>
          <w:sz w:val="30"/>
          <w:szCs w:val="30"/>
        </w:rPr>
        <w:t>6</w:t>
      </w:r>
    </w:p>
    <w:p w14:paraId="403F26F0">
      <w:pPr>
        <w:jc w:val="center"/>
        <w:rPr>
          <w:b/>
          <w:bCs/>
          <w:sz w:val="28"/>
          <w:szCs w:val="36"/>
        </w:rPr>
      </w:pPr>
      <w:r>
        <w:rPr>
          <w:b/>
          <w:bCs/>
          <w:sz w:val="28"/>
          <w:szCs w:val="36"/>
        </w:rPr>
        <w:t>非生产供应商注册操作手册</w:t>
      </w:r>
    </w:p>
    <w:p w14:paraId="0DEC3FBD">
      <w:pPr>
        <w:pStyle w:val="15"/>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9"/>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20"/>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21"/>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22"/>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23"/>
                    <a:stretch>
                      <a:fillRect/>
                    </a:stretch>
                  </pic:blipFill>
                  <pic:spPr>
                    <a:xfrm>
                      <a:off x="0" y="0"/>
                      <a:ext cx="5760085" cy="2853375"/>
                    </a:xfrm>
                    <a:prstGeom prst="rect">
                      <a:avLst/>
                    </a:prstGeom>
                  </pic:spPr>
                </pic:pic>
              </a:graphicData>
            </a:graphic>
          </wp:inline>
        </w:drawing>
      </w:r>
    </w:p>
    <w:p w14:paraId="6954F6EA">
      <w:pPr>
        <w:numPr>
          <w:ilvl w:val="0"/>
          <w:numId w:val="4"/>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4"/>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5"/>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5"/>
        <w:numPr>
          <w:ilvl w:val="0"/>
          <w:numId w:val="5"/>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5"/>
        <w:numPr>
          <w:ilvl w:val="0"/>
          <w:numId w:val="5"/>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5"/>
        <w:numPr>
          <w:ilvl w:val="0"/>
          <w:numId w:val="5"/>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6"/>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25"/>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https://ecaitong.sinotruk.com:8012/</w:t>
      </w:r>
      <w:r>
        <w:rPr>
          <w:rStyle w:val="3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26"/>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5"/>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7"/>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5"/>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8"/>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9"/>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30"/>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16CDEA">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rPr>
          <w:rFonts w:hint="eastAsia"/>
        </w:rPr>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31"/>
                    <a:stretch>
                      <a:fillRect/>
                    </a:stretch>
                  </pic:blipFill>
                  <pic:spPr>
                    <a:xfrm>
                      <a:off x="0" y="0"/>
                      <a:ext cx="5760085" cy="1956600"/>
                    </a:xfrm>
                    <a:prstGeom prst="rect">
                      <a:avLst/>
                    </a:prstGeom>
                  </pic:spPr>
                </pic:pic>
              </a:graphicData>
            </a:graphic>
          </wp:inline>
        </w:drawing>
      </w:r>
    </w:p>
    <w:p w14:paraId="4761924D">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22033E7F">
      <w:pPr>
        <w:rPr>
          <w:rFonts w:hint="eastAsia"/>
        </w:rPr>
      </w:pPr>
    </w:p>
    <w:p w14:paraId="61352AD7">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5D1FC2D4">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7FFFAE92">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6F7E8806">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10EAFFF3">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7585782C">
      <w:pPr>
        <w:pStyle w:val="2"/>
        <w:keepNext w:val="0"/>
        <w:keepLines w:val="0"/>
        <w:pageBreakBefore w:val="0"/>
        <w:widowControl w:val="0"/>
        <w:kinsoku/>
        <w:wordWrap/>
        <w:overflowPunct/>
        <w:topLinePunct w:val="0"/>
        <w:autoSpaceDE/>
        <w:autoSpaceDN/>
        <w:bidi w:val="0"/>
        <w:ind w:firstLine="723" w:firstLineChars="200"/>
        <w:jc w:val="left"/>
        <w:textAlignment w:val="auto"/>
        <w:rPr>
          <w:rFonts w:hint="eastAsia"/>
        </w:rPr>
      </w:pPr>
    </w:p>
    <w:p w14:paraId="1C9A10D6">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pPr>
      <w:r>
        <w:rPr>
          <w:rFonts w:hint="eastAsia"/>
        </w:rPr>
        <w:t>第二章</w:t>
      </w:r>
      <w:r>
        <w:t xml:space="preserve"> </w:t>
      </w:r>
      <w:r>
        <w:rPr>
          <w:rFonts w:hint="eastAsia"/>
        </w:rPr>
        <w:t>投标人须知</w:t>
      </w:r>
      <w:bookmarkEnd w:id="4"/>
      <w:bookmarkEnd w:id="5"/>
    </w:p>
    <w:p w14:paraId="5230B8C2">
      <w:pPr>
        <w:pStyle w:val="4"/>
        <w:spacing w:before="156"/>
      </w:pPr>
      <w:bookmarkStart w:id="14" w:name="_Toc14341836"/>
      <w:bookmarkStart w:id="15" w:name="_Toc146698122"/>
      <w:bookmarkStart w:id="16" w:name="_Toc32482"/>
      <w:bookmarkStart w:id="17" w:name="_Hlk138516012"/>
      <w:r>
        <w:rPr>
          <w:rFonts w:hint="eastAsia"/>
        </w:rPr>
        <w:t>投标人须知前附表</w:t>
      </w:r>
      <w:bookmarkEnd w:id="14"/>
      <w:bookmarkEnd w:id="15"/>
      <w:bookmarkEnd w:id="16"/>
    </w:p>
    <w:bookmarkEnd w:id="17"/>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lang w:eastAsia="zh-CN"/>
              </w:rPr>
            </w:pPr>
            <w:r>
              <w:t>1.1项目名称：</w:t>
            </w:r>
            <w:r>
              <w:rPr>
                <w:rFonts w:hint="eastAsia"/>
                <w:b w:val="0"/>
                <w:bCs/>
                <w:lang w:val="en-US" w:eastAsia="zh-CN"/>
              </w:rPr>
              <w:t>济宁商用车公司涂装检测能力提升项目</w:t>
            </w:r>
          </w:p>
          <w:p w14:paraId="6891734C">
            <w:pPr>
              <w:spacing w:line="312" w:lineRule="auto"/>
              <w:rPr>
                <w:rFonts w:hint="default" w:ascii="Times New Roman" w:hAnsi="Times New Roman" w:eastAsia="宋体" w:cs="Times New Roman"/>
                <w:b w:val="0"/>
                <w:bCs/>
                <w:kern w:val="2"/>
                <w:sz w:val="24"/>
                <w:szCs w:val="24"/>
                <w:lang w:val="en-US" w:eastAsia="zh-CN" w:bidi="ar-SA"/>
              </w:rPr>
            </w:pPr>
            <w:r>
              <w:rPr>
                <w:b/>
                <w:sz w:val="24"/>
              </w:rPr>
              <w:t>1.2项目编号：</w:t>
            </w:r>
            <w:r>
              <w:rPr>
                <w:rFonts w:hint="eastAsia" w:ascii="Times New Roman" w:hAnsi="Times New Roman" w:eastAsia="宋体" w:cs="Times New Roman"/>
                <w:b w:val="0"/>
                <w:bCs/>
                <w:kern w:val="2"/>
                <w:sz w:val="24"/>
                <w:szCs w:val="24"/>
                <w:lang w:val="en-US" w:eastAsia="zh-CN" w:bidi="ar-SA"/>
              </w:rPr>
              <w:t xml:space="preserve">ZBGL2026070175     </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u w:val="single"/>
                <w:lang w:val="en-US" w:eastAsia="zh-CN"/>
              </w:rPr>
              <w:t>60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068E83A5">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 xml:space="preserve"> </w:t>
            </w:r>
            <w:r>
              <w:rPr>
                <w:rFonts w:hint="eastAsia" w:ascii="宋体" w:hAnsi="宋体" w:cs="宋体"/>
                <w:sz w:val="24"/>
                <w:u w:val="single"/>
                <w:lang w:val="en-US" w:eastAsia="zh-CN"/>
              </w:rPr>
              <w:t>8</w:t>
            </w:r>
            <w:r>
              <w:rPr>
                <w:rFonts w:hint="eastAsia" w:ascii="宋体" w:hAnsi="宋体" w:cs="宋体"/>
                <w:sz w:val="24"/>
                <w:u w:val="single"/>
              </w:rPr>
              <w:t xml:space="preserve">0 </w:t>
            </w:r>
            <w:r>
              <w:rPr>
                <w:rFonts w:hint="eastAsia" w:ascii="宋体" w:hAnsi="宋体" w:cs="宋体"/>
                <w:sz w:val="24"/>
              </w:rPr>
              <w:t>%的收据及合同全额</w:t>
            </w:r>
            <w:r>
              <w:rPr>
                <w:rFonts w:hint="eastAsia" w:ascii="宋体" w:hAnsi="宋体" w:cs="宋体"/>
                <w:sz w:val="24"/>
                <w:u w:val="single"/>
                <w:lang w:val="en-US" w:eastAsia="zh-CN"/>
              </w:rPr>
              <w:t>10</w:t>
            </w:r>
            <w:r>
              <w:rPr>
                <w:rFonts w:hint="eastAsia" w:ascii="宋体" w:hAnsi="宋体" w:cs="宋体"/>
                <w:sz w:val="24"/>
                <w:u w:val="single"/>
              </w:rPr>
              <w:t>0 %</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60C5F470">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lang w:val="en-US" w:eastAsia="zh-CN"/>
              </w:rPr>
              <w:t>2</w:t>
            </w:r>
            <w:r>
              <w:rPr>
                <w:rFonts w:hint="eastAsia" w:ascii="宋体" w:hAnsi="宋体" w:cs="宋体"/>
                <w:sz w:val="24"/>
                <w:u w:val="single"/>
              </w:rPr>
              <w:t>0%</w:t>
            </w:r>
            <w:r>
              <w:rPr>
                <w:rFonts w:hint="eastAsia" w:ascii="宋体" w:hAnsi="宋体" w:cs="宋体"/>
                <w:sz w:val="24"/>
              </w:rPr>
              <w:t>作为本合同约定设备的质量保证金，质量保证金在质量保证期内不计利息。待每套合同设备质量保证期满后，卖方向买方提交金额为合同价款</w:t>
            </w:r>
            <w:r>
              <w:rPr>
                <w:rFonts w:hint="eastAsia" w:ascii="宋体" w:hAnsi="宋体" w:cs="宋体"/>
                <w:sz w:val="24"/>
                <w:lang w:val="en-US" w:eastAsia="zh-CN"/>
              </w:rPr>
              <w:t>2</w:t>
            </w:r>
            <w:r>
              <w:rPr>
                <w:rFonts w:hint="eastAsia" w:ascii="宋体" w:hAnsi="宋体" w:cs="宋体"/>
                <w:sz w:val="24"/>
              </w:rPr>
              <w:t>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7</w:t>
            </w:r>
            <w:r>
              <w:rPr>
                <w:rFonts w:hint="eastAsia" w:ascii="宋体" w:cs="宋体"/>
                <w:sz w:val="24"/>
                <w:highlight w:val="none"/>
              </w:rPr>
              <w:t>月</w:t>
            </w:r>
            <w:r>
              <w:rPr>
                <w:rFonts w:hint="eastAsia" w:ascii="宋体" w:cs="宋体"/>
                <w:sz w:val="24"/>
                <w:highlight w:val="none"/>
                <w:u w:val="single"/>
                <w:lang w:val="en-US" w:eastAsia="zh-CN"/>
              </w:rPr>
              <w:t>20</w:t>
            </w:r>
            <w:r>
              <w:rPr>
                <w:rFonts w:hint="eastAsia" w:ascii="宋体" w:cs="宋体"/>
                <w:sz w:val="24"/>
                <w:highlight w:val="none"/>
              </w:rPr>
              <w:t>日</w:t>
            </w:r>
            <w:r>
              <w:rPr>
                <w:rFonts w:hint="eastAsia" w:ascii="宋体" w:cs="宋体"/>
                <w:sz w:val="24"/>
                <w:highlight w:val="none"/>
                <w:u w:val="single"/>
                <w:lang w:val="en-US" w:eastAsia="zh-CN"/>
              </w:rPr>
              <w:t>12：00</w:t>
            </w:r>
            <w:r>
              <w:rPr>
                <w:rFonts w:hint="eastAsia" w:ascii="宋体" w:cs="宋体"/>
                <w:sz w:val="24"/>
                <w:highlight w:val="none"/>
              </w:rPr>
              <w:t>时前；</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7</w:t>
            </w:r>
            <w:r>
              <w:rPr>
                <w:rFonts w:hint="eastAsia" w:ascii="宋体" w:cs="宋体"/>
                <w:sz w:val="24"/>
                <w:highlight w:val="none"/>
              </w:rPr>
              <w:t>月</w:t>
            </w:r>
            <w:r>
              <w:rPr>
                <w:rFonts w:hint="eastAsia" w:ascii="宋体" w:cs="宋体"/>
                <w:sz w:val="24"/>
                <w:highlight w:val="none"/>
                <w:u w:val="single"/>
                <w:lang w:val="en-US" w:eastAsia="zh-CN"/>
              </w:rPr>
              <w:t>22</w:t>
            </w:r>
            <w:r>
              <w:rPr>
                <w:rFonts w:hint="eastAsia" w:ascii="宋体" w:cs="宋体"/>
                <w:sz w:val="24"/>
                <w:highlight w:val="none"/>
              </w:rPr>
              <w:t>日</w:t>
            </w:r>
            <w:r>
              <w:rPr>
                <w:rFonts w:hint="eastAsia" w:ascii="宋体" w:cs="宋体"/>
                <w:sz w:val="24"/>
                <w:highlight w:val="none"/>
                <w:u w:val="single"/>
                <w:lang w:val="en-US" w:eastAsia="zh-CN"/>
              </w:rPr>
              <w:t>17：00</w:t>
            </w:r>
            <w:r>
              <w:rPr>
                <w:rFonts w:hint="eastAsia" w:ascii="宋体" w:cs="宋体"/>
                <w:sz w:val="24"/>
                <w:highlight w:val="none"/>
              </w:rPr>
              <w:t>时前；</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67F86DD5">
            <w:pPr>
              <w:pStyle w:val="12"/>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3"/>
              <w:rPr>
                <w:rFonts w:cs="宋体"/>
                <w:sz w:val="24"/>
                <w:highlight w:val="none"/>
              </w:rPr>
            </w:pPr>
            <w:r>
              <w:rPr>
                <w:rFonts w:hint="eastAsia" w:cs="宋体"/>
                <w:b/>
                <w:bCs/>
                <w:sz w:val="24"/>
                <w:highlight w:val="none"/>
              </w:rPr>
              <w:t>纸质版投标文件份数：</w:t>
            </w:r>
            <w:r>
              <w:rPr>
                <w:rFonts w:hint="eastAsia" w:ascii="宋体"/>
                <w:b/>
                <w:bCs/>
                <w:sz w:val="24"/>
                <w:highlight w:val="none"/>
              </w:rPr>
              <w:t>共</w:t>
            </w:r>
            <w:r>
              <w:rPr>
                <w:rFonts w:hint="eastAsia" w:ascii="宋体"/>
                <w:b/>
                <w:bCs/>
                <w:sz w:val="24"/>
                <w:highlight w:val="none"/>
                <w:lang w:val="en-US" w:eastAsia="zh-CN"/>
              </w:rPr>
              <w:t>四</w:t>
            </w:r>
            <w:r>
              <w:rPr>
                <w:rFonts w:hint="eastAsia" w:ascii="宋体"/>
                <w:b/>
                <w:bCs/>
                <w:sz w:val="24"/>
                <w:highlight w:val="none"/>
              </w:rPr>
              <w:t>个包封</w:t>
            </w:r>
          </w:p>
          <w:p w14:paraId="05560C4F">
            <w:pPr>
              <w:pStyle w:val="12"/>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2"/>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2"/>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2"/>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2"/>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2"/>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2"/>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712410A6">
            <w:pPr>
              <w:pStyle w:val="12"/>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u w:val="single"/>
              </w:rPr>
              <w:t>202</w:t>
            </w:r>
            <w:r>
              <w:rPr>
                <w:rFonts w:hint="eastAsia" w:ascii="宋体" w:cs="宋体"/>
                <w:b/>
                <w:bCs/>
                <w:sz w:val="24"/>
                <w:u w:val="single"/>
                <w:lang w:val="en-US" w:eastAsia="zh-CN"/>
              </w:rPr>
              <w:t>6</w:t>
            </w:r>
            <w:r>
              <w:rPr>
                <w:rFonts w:hint="eastAsia" w:ascii="宋体" w:cs="宋体"/>
                <w:b/>
                <w:bCs/>
                <w:sz w:val="24"/>
                <w:u w:val="single"/>
              </w:rPr>
              <w:t>年</w:t>
            </w:r>
            <w:r>
              <w:rPr>
                <w:rFonts w:hint="eastAsia" w:ascii="宋体" w:cs="宋体"/>
                <w:b/>
                <w:bCs/>
                <w:sz w:val="24"/>
                <w:u w:val="single"/>
                <w:lang w:val="en-US" w:eastAsia="zh-CN"/>
              </w:rPr>
              <w:t>7</w:t>
            </w:r>
            <w:r>
              <w:rPr>
                <w:rFonts w:hint="eastAsia" w:ascii="宋体" w:cs="宋体"/>
                <w:b/>
                <w:bCs/>
                <w:sz w:val="24"/>
                <w:u w:val="single"/>
              </w:rPr>
              <w:t>月</w:t>
            </w:r>
            <w:r>
              <w:rPr>
                <w:rFonts w:hint="eastAsia" w:ascii="宋体" w:cs="宋体"/>
                <w:b/>
                <w:bCs/>
                <w:sz w:val="24"/>
                <w:u w:val="single"/>
                <w:lang w:val="en-US" w:eastAsia="zh-CN"/>
              </w:rPr>
              <w:t>23</w:t>
            </w:r>
            <w:r>
              <w:rPr>
                <w:rFonts w:hint="eastAsia" w:ascii="宋体" w:cs="宋体"/>
                <w:b/>
                <w:bCs/>
                <w:sz w:val="24"/>
                <w:u w:val="single"/>
              </w:rPr>
              <w:t>日1</w:t>
            </w:r>
            <w:r>
              <w:rPr>
                <w:rFonts w:hint="eastAsia" w:ascii="宋体" w:cs="宋体"/>
                <w:b/>
                <w:bCs/>
                <w:sz w:val="24"/>
                <w:u w:val="single"/>
                <w:lang w:val="en-US" w:eastAsia="zh-CN"/>
              </w:rPr>
              <w:t>7</w:t>
            </w:r>
            <w:r>
              <w:rPr>
                <w:rFonts w:hint="eastAsia" w:ascii="宋体" w:cs="宋体"/>
                <w:b/>
                <w:bCs/>
                <w:sz w:val="24"/>
                <w:u w:val="single"/>
              </w:rPr>
              <w:t>:</w:t>
            </w:r>
            <w:r>
              <w:rPr>
                <w:rFonts w:ascii="宋体" w:cs="宋体"/>
                <w:b/>
                <w:bCs/>
                <w:sz w:val="24"/>
                <w:u w:val="single"/>
              </w:rPr>
              <w:t>00</w:t>
            </w:r>
            <w:r>
              <w:rPr>
                <w:rFonts w:hint="eastAsia" w:ascii="宋体" w:cs="宋体"/>
                <w:b/>
                <w:bCs/>
                <w:sz w:val="24"/>
                <w:u w:val="single"/>
              </w:rPr>
              <w:t>前</w:t>
            </w:r>
            <w:r>
              <w:rPr>
                <w:rFonts w:hint="eastAsia" w:ascii="宋体" w:cs="宋体"/>
                <w:b/>
                <w:bCs/>
                <w:sz w:val="24"/>
                <w:u w:val="single"/>
                <w:lang w:eastAsia="zh-CN"/>
              </w:rPr>
              <w:t>（</w:t>
            </w:r>
            <w:r>
              <w:rPr>
                <w:rFonts w:hint="eastAsia" w:ascii="宋体" w:cs="宋体"/>
                <w:b/>
                <w:bCs/>
                <w:sz w:val="24"/>
                <w:u w:val="single"/>
                <w:lang w:val="en-US" w:eastAsia="zh-CN"/>
              </w:rPr>
              <w:t>并提供转账证明至招标方</w:t>
            </w:r>
            <w:r>
              <w:rPr>
                <w:rFonts w:hint="eastAsia" w:ascii="宋体" w:cs="宋体"/>
                <w:b/>
                <w:bCs/>
                <w:sz w:val="24"/>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7</w:t>
            </w:r>
            <w:r>
              <w:rPr>
                <w:rFonts w:hint="eastAsia" w:ascii="宋体" w:cs="宋体"/>
                <w:b/>
                <w:bCs/>
                <w:sz w:val="24"/>
                <w:u w:val="single"/>
              </w:rPr>
              <w:t>月</w:t>
            </w:r>
            <w:r>
              <w:rPr>
                <w:rFonts w:hint="eastAsia" w:ascii="宋体" w:cs="宋体"/>
                <w:b/>
                <w:bCs/>
                <w:sz w:val="24"/>
                <w:u w:val="single"/>
                <w:lang w:val="en-US" w:eastAsia="zh-CN"/>
              </w:rPr>
              <w:t>28</w:t>
            </w:r>
            <w:r>
              <w:rPr>
                <w:rFonts w:hint="eastAsia" w:ascii="宋体" w:cs="宋体"/>
                <w:b/>
                <w:bCs/>
                <w:sz w:val="24"/>
                <w:u w:val="single"/>
              </w:rPr>
              <w:t>日</w:t>
            </w:r>
            <w:r>
              <w:rPr>
                <w:rFonts w:hint="eastAsia" w:ascii="宋体" w:cs="宋体"/>
                <w:b/>
                <w:bCs/>
                <w:sz w:val="24"/>
                <w:u w:val="single"/>
                <w:lang w:val="en-US" w:eastAsia="zh-CN"/>
              </w:rPr>
              <w:t>9：00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7</w:t>
            </w:r>
            <w:r>
              <w:rPr>
                <w:rFonts w:hint="eastAsia" w:ascii="宋体" w:cs="宋体"/>
                <w:b/>
                <w:bCs/>
                <w:sz w:val="24"/>
                <w:u w:val="single"/>
              </w:rPr>
              <w:t>月</w:t>
            </w:r>
            <w:r>
              <w:rPr>
                <w:rFonts w:hint="eastAsia" w:ascii="宋体" w:cs="宋体"/>
                <w:b/>
                <w:bCs/>
                <w:sz w:val="24"/>
                <w:u w:val="single"/>
                <w:lang w:val="en-US" w:eastAsia="zh-CN"/>
              </w:rPr>
              <w:t>28</w:t>
            </w:r>
            <w:r>
              <w:rPr>
                <w:rFonts w:hint="eastAsia" w:ascii="宋体" w:cs="宋体"/>
                <w:b/>
                <w:bCs/>
                <w:sz w:val="24"/>
                <w:u w:val="single"/>
              </w:rPr>
              <w:t>日</w:t>
            </w:r>
            <w:r>
              <w:rPr>
                <w:rFonts w:hint="eastAsia" w:ascii="宋体" w:cs="宋体"/>
                <w:b/>
                <w:bCs/>
                <w:sz w:val="24"/>
                <w:u w:val="single"/>
                <w:lang w:val="en-US" w:eastAsia="zh-CN"/>
              </w:rPr>
              <w:t>9：00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w:t>
            </w:r>
            <w:bookmarkStart w:id="220" w:name="_GoBack"/>
            <w:bookmarkEnd w:id="220"/>
            <w:r>
              <w:rPr>
                <w:rFonts w:hint="eastAsia"/>
                <w:b/>
                <w:bCs/>
                <w:kern w:val="0"/>
                <w:sz w:val="24"/>
                <w:u w:val="single"/>
                <w:lang w:val="en-US" w:eastAsia="zh-CN"/>
              </w:rPr>
              <w:t>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AE5791C">
            <w:pPr>
              <w:spacing w:line="312" w:lineRule="auto"/>
              <w:ind w:firstLine="480" w:firstLineChars="200"/>
              <w:rPr>
                <w:rFonts w:hint="eastAsia" w:ascii="宋体" w:hAnsi="宋体" w:cs="宋体"/>
                <w:sz w:val="24"/>
              </w:rPr>
            </w:pPr>
            <w:r>
              <w:rPr>
                <w:rFonts w:hint="eastAsia" w:ascii="宋体" w:hAnsi="宋体" w:cs="宋体"/>
                <w:sz w:val="24"/>
              </w:rPr>
              <w:t>重汽e采通平台应标成功</w:t>
            </w:r>
            <w:r>
              <w:rPr>
                <w:rFonts w:hint="eastAsia" w:ascii="宋体" w:hAnsi="宋体" w:cs="宋体"/>
                <w:sz w:val="24"/>
                <w:lang w:eastAsia="zh-CN"/>
              </w:rPr>
              <w:t>（</w:t>
            </w:r>
            <w:r>
              <w:rPr>
                <w:rFonts w:hint="eastAsia" w:ascii="宋体" w:hAnsi="宋体" w:cs="宋体"/>
                <w:b/>
                <w:bCs/>
                <w:sz w:val="24"/>
                <w:highlight w:val="red"/>
                <w:u w:val="single"/>
                <w:lang w:val="en-US" w:eastAsia="zh-CN"/>
              </w:rPr>
              <w:t>应标截止时间：</w:t>
            </w:r>
            <w:r>
              <w:rPr>
                <w:rFonts w:hint="eastAsia" w:ascii="宋体" w:hAnsi="宋体" w:cs="宋体"/>
                <w:b/>
                <w:bCs/>
                <w:sz w:val="24"/>
                <w:highlight w:val="red"/>
                <w:u w:val="single"/>
              </w:rPr>
              <w:t>2026年7月</w:t>
            </w:r>
            <w:r>
              <w:rPr>
                <w:rFonts w:hint="eastAsia" w:ascii="宋体" w:hAnsi="宋体" w:cs="宋体"/>
                <w:b/>
                <w:bCs/>
                <w:sz w:val="24"/>
                <w:highlight w:val="red"/>
                <w:u w:val="single"/>
                <w:lang w:val="en-US" w:eastAsia="zh-CN"/>
              </w:rPr>
              <w:t>22</w:t>
            </w:r>
            <w:r>
              <w:rPr>
                <w:rFonts w:hint="eastAsia" w:ascii="宋体" w:hAnsi="宋体" w:cs="宋体"/>
                <w:b/>
                <w:bCs/>
                <w:sz w:val="24"/>
                <w:highlight w:val="red"/>
                <w:u w:val="single"/>
              </w:rPr>
              <w:t>日17:00</w:t>
            </w:r>
            <w:r>
              <w:rPr>
                <w:rFonts w:hint="eastAsia" w:ascii="宋体" w:hAnsi="宋体" w:cs="宋体"/>
                <w:sz w:val="24"/>
                <w:lang w:eastAsia="zh-CN"/>
              </w:rPr>
              <w:t>）</w:t>
            </w:r>
            <w:r>
              <w:rPr>
                <w:rFonts w:hint="eastAsia" w:ascii="宋体" w:hAnsi="宋体" w:cs="宋体"/>
                <w:sz w:val="24"/>
              </w:rPr>
              <w:t>后，</w:t>
            </w:r>
          </w:p>
          <w:p w14:paraId="6674C17A">
            <w:pPr>
              <w:spacing w:line="312" w:lineRule="auto"/>
              <w:ind w:firstLine="482" w:firstLineChars="200"/>
              <w:rPr>
                <w:rFonts w:hint="eastAsia" w:ascii="宋体" w:hAnsi="宋体" w:cs="宋体"/>
                <w:sz w:val="24"/>
              </w:rPr>
            </w:pPr>
            <w:r>
              <w:rPr>
                <w:rFonts w:hint="eastAsia" w:ascii="宋体" w:cs="宋体"/>
                <w:b/>
                <w:bCs/>
                <w:sz w:val="24"/>
                <w:highlight w:val="red"/>
                <w:u w:val="single"/>
                <w:lang w:val="en-US" w:eastAsia="zh-CN"/>
              </w:rPr>
              <w:t>2026</w:t>
            </w:r>
            <w:r>
              <w:rPr>
                <w:rFonts w:hint="eastAsia" w:ascii="宋体" w:cs="宋体"/>
                <w:b/>
                <w:bCs/>
                <w:sz w:val="24"/>
                <w:highlight w:val="red"/>
                <w:u w:val="single"/>
              </w:rPr>
              <w:t>年</w:t>
            </w:r>
            <w:r>
              <w:rPr>
                <w:rFonts w:hint="eastAsia" w:ascii="宋体" w:cs="宋体"/>
                <w:b/>
                <w:bCs/>
                <w:sz w:val="24"/>
                <w:highlight w:val="red"/>
                <w:u w:val="single"/>
                <w:lang w:val="en-US" w:eastAsia="zh-CN"/>
              </w:rPr>
              <w:t>7</w:t>
            </w:r>
            <w:r>
              <w:rPr>
                <w:rFonts w:hint="eastAsia" w:ascii="宋体" w:cs="宋体"/>
                <w:b/>
                <w:bCs/>
                <w:sz w:val="24"/>
                <w:highlight w:val="red"/>
                <w:u w:val="single"/>
              </w:rPr>
              <w:t>月</w:t>
            </w:r>
            <w:r>
              <w:rPr>
                <w:rFonts w:hint="eastAsia" w:ascii="宋体" w:cs="宋体"/>
                <w:b/>
                <w:bCs/>
                <w:sz w:val="24"/>
                <w:highlight w:val="red"/>
                <w:u w:val="single"/>
                <w:lang w:val="en-US" w:eastAsia="zh-CN"/>
              </w:rPr>
              <w:t>27</w:t>
            </w:r>
            <w:r>
              <w:rPr>
                <w:rFonts w:hint="eastAsia" w:ascii="宋体" w:cs="宋体"/>
                <w:b/>
                <w:bCs/>
                <w:sz w:val="24"/>
                <w:highlight w:val="red"/>
                <w:u w:val="single"/>
              </w:rPr>
              <w:t>日</w:t>
            </w:r>
            <w:r>
              <w:rPr>
                <w:rFonts w:hint="eastAsia" w:ascii="宋体" w:cs="宋体"/>
                <w:b/>
                <w:bCs/>
                <w:sz w:val="24"/>
                <w:highlight w:val="red"/>
                <w:u w:val="single"/>
                <w:lang w:val="en-US" w:eastAsia="zh-CN"/>
              </w:rPr>
              <w:t>17：00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41BCF449">
            <w:pPr>
              <w:spacing w:line="312" w:lineRule="auto"/>
              <w:rPr>
                <w:rFonts w:hint="eastAsia" w:ascii="宋体" w:cs="宋体"/>
                <w:kern w:val="0"/>
                <w:sz w:val="24"/>
                <w:highlight w:val="none"/>
              </w:rPr>
            </w:pPr>
            <w:r>
              <w:rPr>
                <w:rFonts w:hint="eastAsia" w:ascii="宋体" w:cs="宋体"/>
                <w:kern w:val="0"/>
                <w:sz w:val="24"/>
                <w:highlight w:val="none"/>
              </w:rPr>
              <w:t>技术联系人：郏书党</w:t>
            </w:r>
          </w:p>
          <w:p w14:paraId="634C3601">
            <w:pPr>
              <w:spacing w:line="312" w:lineRule="auto"/>
              <w:rPr>
                <w:rFonts w:hint="eastAsia" w:ascii="宋体" w:cs="宋体"/>
                <w:kern w:val="0"/>
                <w:sz w:val="24"/>
                <w:highlight w:val="none"/>
              </w:rPr>
            </w:pPr>
            <w:r>
              <w:rPr>
                <w:rFonts w:hint="eastAsia" w:ascii="宋体" w:cs="宋体"/>
                <w:kern w:val="0"/>
                <w:sz w:val="24"/>
                <w:highlight w:val="none"/>
              </w:rPr>
              <w:t>电话：15895952960</w:t>
            </w:r>
          </w:p>
          <w:p w14:paraId="01E5138F">
            <w:pPr>
              <w:spacing w:line="312" w:lineRule="auto"/>
              <w:rPr>
                <w:rFonts w:ascii="宋体" w:cs="宋体"/>
                <w:sz w:val="24"/>
              </w:rPr>
            </w:pPr>
            <w:r>
              <w:rPr>
                <w:rFonts w:hint="eastAsia" w:ascii="宋体" w:cs="宋体"/>
                <w:kern w:val="0"/>
                <w:sz w:val="24"/>
                <w:highlight w:val="none"/>
              </w:rPr>
              <w:t>电子邮件：jiashudang@sinotruk.com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4"/>
        <w:spacing w:before="156"/>
        <w:rPr>
          <w:rFonts w:cs="宋体"/>
        </w:rPr>
      </w:pPr>
      <w:bookmarkStart w:id="18" w:name="_Toc31044"/>
      <w:bookmarkStart w:id="19" w:name="_Toc345336300"/>
      <w:bookmarkStart w:id="20" w:name="_Toc11624"/>
      <w:bookmarkStart w:id="21" w:name="_Toc22025"/>
      <w:bookmarkStart w:id="22" w:name="_Toc12285"/>
      <w:bookmarkStart w:id="23" w:name="_Toc146698123"/>
      <w:r>
        <w:rPr>
          <w:rFonts w:hint="eastAsia"/>
        </w:rPr>
        <w:t>一、</w:t>
      </w:r>
      <w:bookmarkEnd w:id="18"/>
      <w:bookmarkEnd w:id="19"/>
      <w:bookmarkEnd w:id="20"/>
      <w:bookmarkEnd w:id="21"/>
      <w:r>
        <w:rPr>
          <w:rFonts w:hint="eastAsia"/>
        </w:rPr>
        <w:t>说明</w:t>
      </w:r>
      <w:bookmarkEnd w:id="22"/>
      <w:bookmarkEnd w:id="23"/>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4" w:name="_Toc452926207"/>
      <w:bookmarkStart w:id="25"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6" w:name="_Toc352332854"/>
      <w:bookmarkStart w:id="27" w:name="_Toc346372880"/>
      <w:bookmarkStart w:id="28" w:name="_Toc346306733"/>
      <w:r>
        <w:rPr>
          <w:rFonts w:hint="eastAsia" w:ascii="宋体"/>
          <w:b/>
          <w:bCs/>
          <w:sz w:val="24"/>
        </w:rPr>
        <w:t>6</w:t>
      </w:r>
      <w:r>
        <w:rPr>
          <w:rFonts w:hint="eastAsia" w:ascii="宋体"/>
          <w:b/>
          <w:sz w:val="24"/>
        </w:rPr>
        <w:t>投标费用</w:t>
      </w:r>
      <w:bookmarkEnd w:id="26"/>
      <w:bookmarkEnd w:id="27"/>
      <w:bookmarkEnd w:id="28"/>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4"/>
        <w:spacing w:before="156"/>
      </w:pPr>
      <w:bookmarkStart w:id="29" w:name="_Toc27707"/>
      <w:bookmarkStart w:id="30" w:name="_Toc16465"/>
      <w:bookmarkStart w:id="31" w:name="_Toc146698124"/>
      <w:r>
        <w:rPr>
          <w:rFonts w:hint="eastAsia"/>
        </w:rPr>
        <w:t>二、招标文件</w:t>
      </w:r>
      <w:bookmarkEnd w:id="29"/>
      <w:bookmarkEnd w:id="30"/>
      <w:bookmarkEnd w:id="31"/>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35AE5CEA">
      <w:pPr>
        <w:spacing w:line="360" w:lineRule="auto"/>
        <w:ind w:firstLine="480" w:firstLineChars="200"/>
        <w:rPr>
          <w:rFonts w:hint="eastAsia" w:ascii="宋体" w:hAnsi="Times New Roman" w:cs="Times New Roman"/>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4"/>
        <w:spacing w:before="156"/>
      </w:pPr>
      <w:bookmarkStart w:id="32" w:name="_Toc21963"/>
      <w:bookmarkStart w:id="33" w:name="_Toc26307"/>
      <w:bookmarkStart w:id="34" w:name="_Toc146698125"/>
      <w:r>
        <w:rPr>
          <w:rFonts w:hint="eastAsia"/>
        </w:rPr>
        <w:t>三、投标文件编制</w:t>
      </w:r>
      <w:bookmarkEnd w:id="32"/>
      <w:bookmarkEnd w:id="33"/>
      <w:bookmarkEnd w:id="34"/>
    </w:p>
    <w:p w14:paraId="2BC7F64A">
      <w:pPr>
        <w:spacing w:line="360" w:lineRule="auto"/>
        <w:rPr>
          <w:rFonts w:ascii="宋体" w:cs="宋体"/>
          <w:b/>
          <w:bCs/>
          <w:sz w:val="24"/>
        </w:rPr>
      </w:pPr>
      <w:bookmarkStart w:id="35"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7"/>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、202</w:t>
      </w:r>
      <w:r>
        <w:rPr>
          <w:rFonts w:hint="eastAsia" w:ascii="宋体" w:hAnsi="宋体" w:cs="宋体"/>
          <w:sz w:val="24"/>
          <w:highlight w:val="none"/>
          <w:lang w:val="en-US" w:eastAsia="zh-CN"/>
        </w:rPr>
        <w:t>5</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4ED0588B">
      <w:pPr>
        <w:pStyle w:val="43"/>
        <w:numPr>
          <w:ilvl w:val="2"/>
          <w:numId w:val="7"/>
        </w:numPr>
        <w:spacing w:line="312" w:lineRule="auto"/>
        <w:ind w:left="0" w:firstLine="480"/>
        <w:rPr>
          <w:rFonts w:hint="eastAsia" w:ascii="宋体" w:hAnsi="宋体" w:cs="宋体"/>
          <w:sz w:val="24"/>
          <w:highlight w:val="none"/>
        </w:rPr>
      </w:pPr>
      <w:r>
        <w:rPr>
          <w:rFonts w:hint="eastAsia"/>
          <w:kern w:val="0"/>
          <w:sz w:val="24"/>
          <w:szCs w:val="21"/>
          <w:lang w:bidi="en-US"/>
        </w:rPr>
        <w:t>生产厂家正式授权</w:t>
      </w:r>
      <w:r>
        <w:rPr>
          <w:rFonts w:hint="eastAsia"/>
          <w:kern w:val="0"/>
          <w:sz w:val="24"/>
          <w:szCs w:val="21"/>
          <w:lang w:val="en-US" w:eastAsia="zh-CN" w:bidi="en-US"/>
        </w:rPr>
        <w:t>书</w:t>
      </w:r>
    </w:p>
    <w:p w14:paraId="1A518363">
      <w:pPr>
        <w:pStyle w:val="43"/>
        <w:numPr>
          <w:ilvl w:val="2"/>
          <w:numId w:val="7"/>
        </w:numPr>
        <w:spacing w:line="312" w:lineRule="auto"/>
        <w:ind w:left="0" w:firstLine="480"/>
        <w:rPr>
          <w:rFonts w:hint="eastAsia" w:ascii="宋体" w:hAnsi="宋体" w:cs="宋体"/>
          <w:b/>
          <w:bCs/>
          <w:sz w:val="24"/>
          <w:highlight w:val="none"/>
        </w:rPr>
      </w:pPr>
      <w:r>
        <w:rPr>
          <w:rFonts w:hint="eastAsia"/>
          <w:b/>
          <w:bCs/>
          <w:kern w:val="0"/>
          <w:sz w:val="24"/>
          <w:szCs w:val="21"/>
          <w:lang w:val="en-US" w:eastAsia="zh-CN" w:bidi="en-US"/>
        </w:rPr>
        <w:t>投标保证金银行汇款证明</w:t>
      </w:r>
    </w:p>
    <w:p w14:paraId="60B2AD51">
      <w:pPr>
        <w:pStyle w:val="43"/>
        <w:numPr>
          <w:ilvl w:val="2"/>
          <w:numId w:val="7"/>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8"/>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8"/>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9"/>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9"/>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9"/>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10"/>
        </w:numPr>
        <w:spacing w:line="360" w:lineRule="auto"/>
        <w:ind w:left="0" w:firstLine="480"/>
        <w:rPr>
          <w:rStyle w:val="42"/>
        </w:rPr>
      </w:pPr>
      <w:r>
        <w:rPr>
          <w:rStyle w:val="42"/>
          <w:rFonts w:hint="eastAsia" w:ascii="宋体"/>
          <w:sz w:val="24"/>
        </w:rPr>
        <w:t>投标人在递交投标文件的同时，</w:t>
      </w:r>
      <w:r>
        <w:rPr>
          <w:rStyle w:val="42"/>
          <w:rFonts w:hint="eastAsia" w:ascii="宋体"/>
          <w:b/>
          <w:bCs/>
          <w:sz w:val="24"/>
        </w:rPr>
        <w:t>应按投标人须知前附表第1</w:t>
      </w:r>
      <w:r>
        <w:rPr>
          <w:rStyle w:val="42"/>
          <w:rFonts w:ascii="宋体"/>
          <w:b/>
          <w:bCs/>
          <w:sz w:val="24"/>
        </w:rPr>
        <w:t>0</w:t>
      </w:r>
      <w:r>
        <w:rPr>
          <w:rStyle w:val="42"/>
          <w:rFonts w:hint="eastAsia" w:ascii="宋体"/>
          <w:b/>
          <w:bCs/>
          <w:sz w:val="24"/>
        </w:rPr>
        <w:t>项规定的金额和形式递交投标保证金，并作为其投标文件的组成部分。</w:t>
      </w:r>
      <w:r>
        <w:rPr>
          <w:rStyle w:val="42"/>
          <w:rFonts w:hint="eastAsia" w:ascii="宋体"/>
          <w:sz w:val="24"/>
        </w:rPr>
        <w:t>未按本招标文件规定提交投标保证金的，按无效投标处理。</w:t>
      </w:r>
    </w:p>
    <w:p w14:paraId="5473A2BB">
      <w:pPr>
        <w:pStyle w:val="43"/>
        <w:numPr>
          <w:ilvl w:val="0"/>
          <w:numId w:val="10"/>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10"/>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11"/>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11"/>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11"/>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11"/>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11"/>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11"/>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11"/>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11"/>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11"/>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11"/>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11"/>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4"/>
        <w:spacing w:before="156"/>
      </w:pPr>
      <w:bookmarkStart w:id="36" w:name="_Toc20367"/>
      <w:bookmarkStart w:id="37" w:name="_Toc146698126"/>
      <w:bookmarkStart w:id="38" w:name="_Toc4014"/>
      <w:r>
        <w:rPr>
          <w:rFonts w:hint="eastAsia"/>
        </w:rPr>
        <w:t>四、投标文件递交</w:t>
      </w:r>
      <w:bookmarkEnd w:id="36"/>
      <w:bookmarkEnd w:id="37"/>
      <w:bookmarkEnd w:id="38"/>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39" w:name="_Toc346372897"/>
      <w:bookmarkStart w:id="40" w:name="_Toc352332871"/>
      <w:bookmarkStart w:id="41" w:name="_Toc346306750"/>
      <w:r>
        <w:rPr>
          <w:rFonts w:hint="eastAsia" w:ascii="宋体"/>
          <w:b/>
          <w:bCs/>
          <w:sz w:val="24"/>
        </w:rPr>
        <w:t xml:space="preserve">18 </w:t>
      </w:r>
      <w:r>
        <w:rPr>
          <w:rFonts w:hint="eastAsia" w:ascii="宋体"/>
          <w:b/>
          <w:sz w:val="24"/>
        </w:rPr>
        <w:t>投标文件签收</w:t>
      </w:r>
      <w:bookmarkEnd w:id="39"/>
      <w:bookmarkEnd w:id="40"/>
      <w:bookmarkEnd w:id="41"/>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54260677">
      <w:pPr>
        <w:pStyle w:val="4"/>
        <w:spacing w:before="156"/>
      </w:pPr>
      <w:bookmarkStart w:id="42" w:name="_Toc1085"/>
      <w:bookmarkStart w:id="43" w:name="_Toc146698127"/>
      <w:bookmarkStart w:id="44" w:name="_Toc6510"/>
      <w:r>
        <w:rPr>
          <w:rFonts w:hint="eastAsia"/>
        </w:rPr>
        <w:t>五、开标</w:t>
      </w:r>
      <w:bookmarkEnd w:id="42"/>
      <w:r>
        <w:rPr>
          <w:rFonts w:hint="eastAsia"/>
        </w:rPr>
        <w:t>与评标</w:t>
      </w:r>
      <w:bookmarkEnd w:id="43"/>
      <w:bookmarkEnd w:id="44"/>
    </w:p>
    <w:p w14:paraId="4375CAEF">
      <w:pPr>
        <w:pStyle w:val="43"/>
        <w:spacing w:line="360" w:lineRule="auto"/>
        <w:ind w:firstLine="0" w:firstLineChars="0"/>
        <w:outlineLvl w:val="2"/>
        <w:rPr>
          <w:rFonts w:ascii="宋体"/>
          <w:b/>
          <w:bCs/>
          <w:sz w:val="24"/>
        </w:rPr>
      </w:pPr>
      <w:bookmarkStart w:id="45" w:name="_Toc22902"/>
      <w:bookmarkStart w:id="46" w:name="_Toc21105"/>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2"/>
        <w:spacing w:after="0" w:line="360" w:lineRule="auto"/>
        <w:ind w:firstLine="480" w:firstLineChars="200"/>
        <w:rPr>
          <w:rFonts w:ascii="宋体"/>
          <w:b/>
          <w:bCs/>
          <w:sz w:val="24"/>
        </w:rPr>
      </w:pPr>
      <w:bookmarkStart w:id="47"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2"/>
        <w:numPr>
          <w:ilvl w:val="0"/>
          <w:numId w:val="12"/>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2"/>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2"/>
        <w:numPr>
          <w:ilvl w:val="0"/>
          <w:numId w:val="12"/>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2"/>
        <w:numPr>
          <w:ilvl w:val="0"/>
          <w:numId w:val="12"/>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2"/>
        <w:numPr>
          <w:ilvl w:val="0"/>
          <w:numId w:val="12"/>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2"/>
        <w:numPr>
          <w:ilvl w:val="0"/>
          <w:numId w:val="12"/>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2"/>
        <w:numPr>
          <w:ilvl w:val="0"/>
          <w:numId w:val="12"/>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2"/>
        <w:numPr>
          <w:ilvl w:val="0"/>
          <w:numId w:val="12"/>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2"/>
        <w:numPr>
          <w:ilvl w:val="0"/>
          <w:numId w:val="12"/>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2"/>
        <w:numPr>
          <w:ilvl w:val="0"/>
          <w:numId w:val="12"/>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2"/>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2"/>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2"/>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2"/>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7"/>
    </w:p>
    <w:p w14:paraId="54F519FF">
      <w:pPr>
        <w:pStyle w:val="12"/>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2"/>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8" w:name="_Toc212369528"/>
      <w:bookmarkStart w:id="49" w:name="_Toc92678128"/>
      <w:r>
        <w:rPr>
          <w:rFonts w:hint="eastAsia" w:ascii="宋体" w:hAnsi="宋体"/>
          <w:b/>
          <w:bCs/>
          <w:sz w:val="24"/>
        </w:rPr>
        <w:t>22 评标原则</w:t>
      </w:r>
      <w:bookmarkEnd w:id="48"/>
      <w:bookmarkEnd w:id="49"/>
    </w:p>
    <w:p w14:paraId="77EE70FB">
      <w:pPr>
        <w:spacing w:line="360" w:lineRule="auto"/>
        <w:ind w:firstLine="480" w:firstLineChars="200"/>
        <w:rPr>
          <w:rFonts w:hint="eastAsia" w:ascii="宋体" w:hAnsi="宋体"/>
          <w:sz w:val="24"/>
        </w:rPr>
      </w:pPr>
      <w:bookmarkStart w:id="50"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0"/>
    </w:p>
    <w:p w14:paraId="3F49208C">
      <w:pPr>
        <w:pStyle w:val="12"/>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2"/>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2"/>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2"/>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2"/>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4"/>
        <w:spacing w:before="156"/>
      </w:pPr>
      <w:bookmarkStart w:id="51" w:name="_Toc19543"/>
      <w:bookmarkStart w:id="52" w:name="_Toc146698128"/>
      <w:bookmarkStart w:id="53" w:name="_Toc18108"/>
      <w:r>
        <w:rPr>
          <w:rFonts w:hint="eastAsia"/>
        </w:rPr>
        <w:t>六、</w:t>
      </w:r>
      <w:bookmarkEnd w:id="51"/>
      <w:r>
        <w:rPr>
          <w:rFonts w:hint="eastAsia"/>
        </w:rPr>
        <w:t>授予合同</w:t>
      </w:r>
      <w:bookmarkEnd w:id="52"/>
      <w:bookmarkEnd w:id="53"/>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2"/>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2"/>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4"/>
        <w:spacing w:before="156"/>
      </w:pPr>
      <w:bookmarkStart w:id="54" w:name="_Toc7525"/>
      <w:bookmarkStart w:id="55" w:name="_Toc5892"/>
      <w:bookmarkStart w:id="56" w:name="_Toc146698129"/>
      <w:r>
        <w:rPr>
          <w:rFonts w:hint="eastAsia"/>
        </w:rPr>
        <w:t>七、</w:t>
      </w:r>
      <w:bookmarkEnd w:id="54"/>
      <w:r>
        <w:rPr>
          <w:rFonts w:hint="eastAsia"/>
        </w:rPr>
        <w:t>废标及终止招标</w:t>
      </w:r>
      <w:bookmarkEnd w:id="55"/>
      <w:bookmarkEnd w:id="56"/>
    </w:p>
    <w:p w14:paraId="4806526F">
      <w:pPr>
        <w:pStyle w:val="43"/>
        <w:spacing w:line="360" w:lineRule="auto"/>
        <w:ind w:firstLine="0" w:firstLineChars="0"/>
        <w:outlineLvl w:val="2"/>
        <w:rPr>
          <w:rFonts w:hint="eastAsia" w:ascii="宋体" w:hAnsi="宋体"/>
          <w:spacing w:val="4"/>
          <w:sz w:val="24"/>
        </w:rPr>
      </w:pPr>
      <w:bookmarkStart w:id="57"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7"/>
    <w:p w14:paraId="210818CB">
      <w:pPr>
        <w:pStyle w:val="4"/>
        <w:spacing w:before="156"/>
      </w:pPr>
      <w:bookmarkStart w:id="58" w:name="_Toc29377"/>
      <w:bookmarkStart w:id="59" w:name="_Toc14341844"/>
      <w:bookmarkStart w:id="60" w:name="_Toc146698130"/>
      <w:r>
        <w:rPr>
          <w:rFonts w:hint="eastAsia"/>
        </w:rPr>
        <w:t>八、解释权</w:t>
      </w:r>
      <w:bookmarkEnd w:id="58"/>
      <w:bookmarkEnd w:id="59"/>
      <w:bookmarkEnd w:id="60"/>
    </w:p>
    <w:p w14:paraId="11A15F1F">
      <w:pPr>
        <w:pStyle w:val="12"/>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4"/>
        <w:spacing w:before="156"/>
      </w:pPr>
      <w:bookmarkStart w:id="61" w:name="_Toc14341845"/>
      <w:bookmarkStart w:id="62" w:name="_Toc146698131"/>
      <w:bookmarkStart w:id="63" w:name="_Toc14906"/>
      <w:r>
        <w:rPr>
          <w:rFonts w:hint="eastAsia"/>
        </w:rPr>
        <w:t>九、</w:t>
      </w:r>
      <w:bookmarkEnd w:id="61"/>
      <w:r>
        <w:rPr>
          <w:rFonts w:hint="eastAsia"/>
        </w:rPr>
        <w:t>中标人瑕疵滞后发现的处理原则</w:t>
      </w:r>
      <w:bookmarkEnd w:id="62"/>
      <w:bookmarkEnd w:id="63"/>
    </w:p>
    <w:p w14:paraId="62F05534">
      <w:pPr>
        <w:pStyle w:val="12"/>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keepNext w:val="0"/>
        <w:keepLines w:val="0"/>
        <w:pageBreakBefore w:val="0"/>
        <w:widowControl w:val="0"/>
        <w:numPr>
          <w:ilvl w:val="0"/>
          <w:numId w:val="0"/>
        </w:numPr>
        <w:kinsoku/>
        <w:wordWrap/>
        <w:overflowPunct/>
        <w:topLinePunct w:val="0"/>
        <w:autoSpaceDE/>
        <w:autoSpaceDN/>
        <w:bidi w:val="0"/>
        <w:jc w:val="center"/>
        <w:textAlignment w:val="auto"/>
      </w:pPr>
      <w:r>
        <w:rPr>
          <w:rFonts w:hint="eastAsia" w:ascii="Times New Roman" w:hAnsi="Times New Roman" w:eastAsia="宋体" w:cs="Times New Roman"/>
          <w:b/>
          <w:bCs/>
          <w:kern w:val="44"/>
          <w:sz w:val="36"/>
          <w:szCs w:val="36"/>
          <w:lang w:val="en-US" w:eastAsia="zh-CN" w:bidi="ar-SA"/>
        </w:rPr>
        <w:t>第三章</w:t>
      </w:r>
      <w:r>
        <w:rPr>
          <w:rFonts w:hint="eastAsia" w:cs="Times New Roman"/>
          <w:b/>
          <w:bCs/>
          <w:kern w:val="44"/>
          <w:sz w:val="36"/>
          <w:szCs w:val="36"/>
          <w:lang w:val="en-US" w:eastAsia="zh-CN" w:bidi="ar-SA"/>
        </w:rPr>
        <w:t xml:space="preserve"> </w:t>
      </w:r>
      <w:r>
        <w:rPr>
          <w:rFonts w:hint="eastAsia"/>
        </w:rPr>
        <w:t>评分方法及标准</w:t>
      </w:r>
      <w:bookmarkEnd w:id="45"/>
      <w:bookmarkEnd w:id="46"/>
    </w:p>
    <w:p w14:paraId="5EFB04D0">
      <w:pPr>
        <w:pStyle w:val="73"/>
        <w:spacing w:before="156" w:after="0"/>
        <w:jc w:val="center"/>
        <w:rPr>
          <w:rFonts w:ascii="宋体"/>
          <w:sz w:val="24"/>
        </w:rPr>
      </w:pPr>
      <w:r>
        <w:rPr>
          <w:rStyle w:val="42"/>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3"/>
        <w:spacing w:before="0" w:after="0"/>
        <w:jc w:val="center"/>
        <w:rPr>
          <w:rStyle w:val="42"/>
          <w:rFonts w:ascii="宋体" w:hAnsi="宋体"/>
          <w:sz w:val="24"/>
        </w:rPr>
      </w:pPr>
    </w:p>
    <w:p w14:paraId="62AC505F">
      <w:pPr>
        <w:pStyle w:val="73"/>
        <w:spacing w:before="0" w:after="0"/>
        <w:jc w:val="center"/>
        <w:rPr>
          <w:rStyle w:val="42"/>
          <w:rFonts w:ascii="宋体" w:hAnsi="宋体"/>
          <w:sz w:val="24"/>
        </w:rPr>
      </w:pPr>
      <w:r>
        <w:rPr>
          <w:rStyle w:val="42"/>
          <w:rFonts w:ascii="宋体" w:hAnsi="宋体"/>
          <w:sz w:val="24"/>
        </w:rPr>
        <w:t>商务标评分细则（满分</w:t>
      </w:r>
      <w:r>
        <w:rPr>
          <w:rStyle w:val="42"/>
          <w:rFonts w:hint="eastAsia" w:ascii="宋体" w:hAnsi="宋体"/>
          <w:sz w:val="24"/>
        </w:rPr>
        <w:t>100</w:t>
      </w:r>
      <w:r>
        <w:rPr>
          <w:rStyle w:val="42"/>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2"/>
                <w:rFonts w:ascii="宋体" w:hAnsi="宋体"/>
                <w:bCs/>
              </w:rPr>
            </w:pPr>
            <w:r>
              <w:rPr>
                <w:rStyle w:val="42"/>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2"/>
                <w:rFonts w:ascii="宋体" w:hAnsi="宋体"/>
                <w:bCs/>
              </w:rPr>
            </w:pPr>
            <w:r>
              <w:rPr>
                <w:rStyle w:val="42"/>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2"/>
                <w:rFonts w:ascii="宋体" w:hAnsi="宋体"/>
                <w:bCs/>
              </w:rPr>
            </w:pPr>
            <w:r>
              <w:rPr>
                <w:rStyle w:val="42"/>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2"/>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2"/>
                <w:rFonts w:ascii="宋体" w:hAnsi="宋体"/>
                <w:bCs/>
              </w:rPr>
            </w:pPr>
            <w:r>
              <w:rPr>
                <w:rStyle w:val="42"/>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2"/>
                <w:rFonts w:ascii="宋体" w:hAnsi="宋体"/>
                <w:bCs/>
              </w:rPr>
            </w:pPr>
            <w:r>
              <w:rPr>
                <w:rStyle w:val="42"/>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2"/>
                <w:rFonts w:hint="default" w:ascii="宋体" w:hAnsi="宋体" w:eastAsia="宋体"/>
                <w:bCs/>
                <w:lang w:val="en-US" w:eastAsia="zh-CN"/>
              </w:rPr>
            </w:pPr>
            <w:r>
              <w:rPr>
                <w:rStyle w:val="42"/>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2"/>
                <w:rFonts w:hint="eastAsia" w:ascii="宋体" w:hAnsi="宋体" w:eastAsia="宋体"/>
                <w:bCs/>
                <w:lang w:val="en-US" w:eastAsia="zh-CN"/>
              </w:rPr>
            </w:pPr>
            <w:r>
              <w:rPr>
                <w:rStyle w:val="42"/>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2"/>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2"/>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3CF8065">
      <w:pPr>
        <w:widowControl/>
        <w:jc w:val="left"/>
        <w:rPr>
          <w:rFonts w:hint="eastAsia" w:ascii="宋体" w:hAnsi="宋体"/>
          <w:b/>
          <w:bCs/>
          <w:sz w:val="24"/>
        </w:rPr>
      </w:pPr>
      <w:r>
        <w:rPr>
          <w:rFonts w:hint="eastAsia" w:ascii="宋体" w:hAnsi="宋体"/>
          <w:b/>
          <w:bCs/>
          <w:sz w:val="24"/>
        </w:rPr>
        <w:br w:type="page"/>
      </w:r>
    </w:p>
    <w:p w14:paraId="19749E54">
      <w:pPr>
        <w:pStyle w:val="2"/>
        <w:keepNext w:val="0"/>
        <w:keepLines w:val="0"/>
        <w:pageBreakBefore w:val="0"/>
        <w:widowControl w:val="0"/>
        <w:kinsoku/>
        <w:wordWrap/>
        <w:overflowPunct/>
        <w:topLinePunct w:val="0"/>
        <w:autoSpaceDE/>
        <w:autoSpaceDN/>
        <w:bidi w:val="0"/>
        <w:ind w:firstLine="723" w:firstLineChars="200"/>
        <w:jc w:val="left"/>
        <w:textAlignment w:val="auto"/>
      </w:pPr>
      <w:bookmarkStart w:id="64" w:name="_Toc474"/>
      <w:r>
        <w:rPr>
          <w:rStyle w:val="46"/>
          <w:rFonts w:hint="eastAsia"/>
          <w:b/>
          <w:bCs/>
        </w:rPr>
        <w:t>第四章 设备技术标准及要求</w:t>
      </w:r>
      <w:bookmarkEnd w:id="64"/>
    </w:p>
    <w:p w14:paraId="05F2395F">
      <w:pPr>
        <w:spacing w:line="360" w:lineRule="auto"/>
        <w:rPr>
          <w:rFonts w:hint="eastAsia" w:ascii="宋体" w:hAnsi="宋体"/>
          <w:b/>
          <w:bCs/>
          <w:spacing w:val="4"/>
          <w:sz w:val="24"/>
        </w:rPr>
      </w:pPr>
      <w:r>
        <w:rPr>
          <w:rFonts w:hint="eastAsia" w:ascii="宋体" w:hAnsi="宋体"/>
          <w:b/>
          <w:bCs/>
          <w:spacing w:val="4"/>
          <w:sz w:val="24"/>
        </w:rPr>
        <w:t>1、特别提示</w:t>
      </w:r>
    </w:p>
    <w:p w14:paraId="279075F0">
      <w:pPr>
        <w:spacing w:line="360" w:lineRule="auto"/>
        <w:ind w:left="124" w:leftChars="59" w:firstLine="500" w:firstLineChars="202"/>
        <w:rPr>
          <w:rFonts w:hint="eastAsia" w:ascii="宋体" w:hAnsi="宋体"/>
          <w:spacing w:val="4"/>
          <w:sz w:val="24"/>
        </w:rPr>
      </w:pPr>
      <w:r>
        <w:rPr>
          <w:rFonts w:hint="eastAsia" w:ascii="宋体" w:hAnsi="宋体"/>
          <w:spacing w:val="4"/>
          <w:sz w:val="24"/>
        </w:rPr>
        <w:t>1.1 本技术要求，仅对功能、设计、结构、性能、安装和试验检验等方面，提出了最低和一般性的技术要求，并未对一切技术细节作出规定。</w:t>
      </w:r>
    </w:p>
    <w:p w14:paraId="4EBB53C1">
      <w:pPr>
        <w:spacing w:line="360" w:lineRule="auto"/>
        <w:ind w:left="124" w:leftChars="59" w:firstLine="500" w:firstLineChars="202"/>
        <w:rPr>
          <w:rFonts w:hint="eastAsia" w:ascii="宋体" w:hAnsi="宋体"/>
          <w:spacing w:val="4"/>
          <w:sz w:val="24"/>
        </w:rPr>
      </w:pPr>
      <w:r>
        <w:rPr>
          <w:rFonts w:hint="eastAsia" w:ascii="宋体" w:hAnsi="宋体"/>
          <w:spacing w:val="4"/>
          <w:sz w:val="24"/>
        </w:rPr>
        <w:t>1.2 本技术要求所使用的标准、规范等，如与投标方所执行的标准、规范不一致时，应按高于本技术要求所列的标准、规范执行。</w:t>
      </w:r>
    </w:p>
    <w:p w14:paraId="1313563B">
      <w:pPr>
        <w:spacing w:line="360" w:lineRule="auto"/>
        <w:ind w:left="124" w:leftChars="59" w:firstLine="500" w:firstLineChars="202"/>
        <w:rPr>
          <w:rFonts w:hint="eastAsia" w:ascii="宋体" w:hAnsi="宋体"/>
          <w:spacing w:val="4"/>
          <w:sz w:val="24"/>
        </w:rPr>
      </w:pPr>
      <w:r>
        <w:rPr>
          <w:rFonts w:hint="eastAsia" w:ascii="宋体" w:hAnsi="宋体"/>
          <w:spacing w:val="4"/>
          <w:sz w:val="24"/>
        </w:rPr>
        <w:t>1.4 投标方应根据招投标货物具体要求，提出对厂房、设备基础、公用设施、消防、 环保等超出招标文件、投标文件、答疑文件、技术交流文件、技术协议书和合同等规定的、有特殊需要的解释、说明和要求。</w:t>
      </w:r>
    </w:p>
    <w:p w14:paraId="2A9B3942">
      <w:pPr>
        <w:spacing w:line="360" w:lineRule="auto"/>
        <w:ind w:left="124" w:leftChars="59" w:firstLine="500" w:firstLineChars="202"/>
        <w:rPr>
          <w:rFonts w:hint="eastAsia" w:ascii="宋体" w:hAnsi="宋体"/>
          <w:spacing w:val="4"/>
          <w:sz w:val="24"/>
        </w:rPr>
      </w:pPr>
      <w:r>
        <w:rPr>
          <w:rFonts w:hint="eastAsia" w:ascii="宋体" w:hAnsi="宋体"/>
          <w:spacing w:val="4"/>
          <w:sz w:val="24"/>
        </w:rPr>
        <w:t>1.5 无论是否有技术偏离，投标方均应在投标文件“技术偏离”中明确作出有无说明。若有异议，不管是多么微小，投标方必须予以明确和详细的说明或澄清。</w:t>
      </w:r>
    </w:p>
    <w:p w14:paraId="2F114C6E">
      <w:pPr>
        <w:spacing w:line="360" w:lineRule="auto"/>
        <w:ind w:left="124" w:leftChars="59" w:firstLine="500" w:firstLineChars="202"/>
        <w:rPr>
          <w:rFonts w:hint="eastAsia" w:ascii="宋体" w:hAnsi="宋体"/>
          <w:spacing w:val="4"/>
          <w:sz w:val="24"/>
        </w:rPr>
      </w:pPr>
      <w:r>
        <w:rPr>
          <w:rFonts w:hint="eastAsia" w:ascii="宋体" w:hAnsi="宋体"/>
          <w:spacing w:val="4"/>
          <w:sz w:val="24"/>
        </w:rPr>
        <w:t>1.6 为避免在招标评审时漏项，质保期超出本技术标书要求的，应当在投标文件“技术偏离”中特别注明。</w:t>
      </w:r>
    </w:p>
    <w:p w14:paraId="2F7DD4C2">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1.7</w:t>
      </w:r>
      <w:r>
        <w:rPr>
          <w:rFonts w:hint="eastAsia" w:ascii="宋体" w:hAnsi="宋体" w:eastAsia="宋体" w:cs="宋体"/>
          <w:b w:val="0"/>
          <w:bCs w:val="0"/>
          <w:sz w:val="24"/>
          <w:szCs w:val="24"/>
          <w:highlight w:val="none"/>
        </w:rPr>
        <w:t>程序图纸要求</w:t>
      </w:r>
    </w:p>
    <w:p w14:paraId="454388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7.1 供方必须提供所有设备程序的源代码，包括但不限于 PLC程序、HMI 程序、机器人程序、视觉程序、伺服等。</w:t>
      </w:r>
    </w:p>
    <w:p w14:paraId="3768D84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7.2 供方所提供的程序不得设置任何密码、保护等限制手段，PLC 不得设置修改下载权限，功能块不得设置密码保护。</w:t>
      </w:r>
    </w:p>
    <w:p w14:paraId="41760CC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7.3 HMI 界面等需要密码保护的程序，供方必须提供所有级别的用户名、密码。</w:t>
      </w:r>
    </w:p>
    <w:p w14:paraId="69FA7B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7.4 供方需在设备入场前提供设备程序源码，HMI 界面各级用户名和密码，并保证与现场程序一致。</w:t>
      </w:r>
    </w:p>
    <w:p w14:paraId="1D5C0D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7.5 供方需在终验收前提供最新的设备程序源码和电气图纸，图纸要求为可编辑原格式（EPLAN、CAD 格式）且与实际接线一致。</w:t>
      </w:r>
    </w:p>
    <w:p w14:paraId="4EB252F9">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w:t>
      </w:r>
      <w:r>
        <w:rPr>
          <w:rFonts w:hint="eastAsia" w:ascii="宋体" w:hAnsi="宋体" w:eastAsia="宋体" w:cs="宋体"/>
          <w:b w:val="0"/>
          <w:bCs w:val="0"/>
          <w:sz w:val="24"/>
          <w:szCs w:val="24"/>
          <w:highlight w:val="none"/>
        </w:rPr>
        <w:t>8接口协议要求</w:t>
      </w:r>
    </w:p>
    <w:p w14:paraId="787FFC8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8.1 供方免费开放所有通讯接口，包括但不限于以太网、</w:t>
      </w:r>
    </w:p>
    <w:p w14:paraId="4CF6D84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RS232、RS485、PROFIBUS、PROFINET、MODBUS 等常见接口，以及设备特有的专用接口。</w:t>
      </w:r>
    </w:p>
    <w:p w14:paraId="05A5D33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8.2 供方免费提供数据交互功能，交互数据包括但不限于实时数据、历史数据、报警信息等。</w:t>
      </w:r>
    </w:p>
    <w:p w14:paraId="18EA207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8.3 供方在设备入场前提供接口的技术文档和参数说明，包括但不限于接口协议、通讯速率、数据格式等。</w:t>
      </w:r>
    </w:p>
    <w:p w14:paraId="771800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8.4 设备使用周期内，供方免费派遣技术人员与甲方调试团队共同进行设备通讯接口的调试工作。</w:t>
      </w:r>
    </w:p>
    <w:p w14:paraId="7C022C5D">
      <w:pPr>
        <w:spacing w:line="360" w:lineRule="auto"/>
        <w:ind w:firstLine="496" w:firstLineChars="200"/>
        <w:rPr>
          <w:rFonts w:hint="eastAsia" w:ascii="宋体" w:hAnsi="宋体"/>
          <w:spacing w:val="4"/>
          <w:sz w:val="24"/>
        </w:rPr>
      </w:pPr>
      <w:r>
        <w:rPr>
          <w:rFonts w:hint="eastAsia" w:ascii="宋体" w:hAnsi="宋体"/>
          <w:spacing w:val="4"/>
          <w:sz w:val="24"/>
        </w:rPr>
        <w:t>1.</w:t>
      </w:r>
      <w:r>
        <w:rPr>
          <w:rFonts w:hint="eastAsia" w:ascii="宋体" w:hAnsi="宋体"/>
          <w:spacing w:val="4"/>
          <w:sz w:val="24"/>
          <w:lang w:val="en-US" w:eastAsia="zh-CN"/>
        </w:rPr>
        <w:t>9</w:t>
      </w:r>
      <w:r>
        <w:rPr>
          <w:rFonts w:hint="eastAsia" w:ascii="宋体" w:hAnsi="宋体"/>
          <w:spacing w:val="4"/>
          <w:sz w:val="24"/>
        </w:rPr>
        <w:t xml:space="preserve"> 投标文件中，针对“特别提示”条款所做的回应，将作为投标方能否中标的重要依据之一。</w:t>
      </w:r>
    </w:p>
    <w:p w14:paraId="17EA06F5">
      <w:pPr>
        <w:spacing w:line="360" w:lineRule="auto"/>
        <w:rPr>
          <w:rFonts w:hint="eastAsia" w:ascii="宋体" w:hAnsi="宋体"/>
          <w:b/>
          <w:bCs/>
          <w:spacing w:val="4"/>
          <w:sz w:val="24"/>
        </w:rPr>
      </w:pPr>
      <w:r>
        <w:rPr>
          <w:rFonts w:hint="eastAsia" w:ascii="宋体" w:hAnsi="宋体"/>
          <w:b/>
          <w:bCs/>
          <w:spacing w:val="4"/>
          <w:sz w:val="24"/>
        </w:rPr>
        <w:t>2、基本要求</w:t>
      </w:r>
    </w:p>
    <w:p w14:paraId="270BB96D">
      <w:pPr>
        <w:spacing w:line="360" w:lineRule="auto"/>
        <w:ind w:firstLine="480" w:firstLineChars="200"/>
        <w:rPr>
          <w:rFonts w:hint="eastAsia" w:ascii="宋体" w:hAnsi="宋体" w:cs="宋体"/>
          <w:sz w:val="24"/>
        </w:rPr>
      </w:pPr>
      <w:r>
        <w:rPr>
          <w:rFonts w:hint="eastAsia" w:ascii="宋体" w:hAnsi="宋体" w:cs="宋体"/>
          <w:sz w:val="24"/>
        </w:rPr>
        <w:t>2.1投标人所供设备（或材料），必须符合中国最新版的法律、法规和相关标准、规范的要求，符合项目所在地政府有关特殊要求；</w:t>
      </w:r>
    </w:p>
    <w:p w14:paraId="31EAF60B">
      <w:pPr>
        <w:spacing w:line="360" w:lineRule="auto"/>
        <w:ind w:firstLine="480" w:firstLineChars="200"/>
        <w:rPr>
          <w:rFonts w:hint="eastAsia" w:ascii="宋体" w:hAnsi="宋体" w:cs="宋体"/>
          <w:sz w:val="24"/>
        </w:rPr>
      </w:pPr>
      <w:r>
        <w:rPr>
          <w:rFonts w:hint="eastAsia" w:ascii="宋体" w:hAnsi="宋体" w:cs="宋体"/>
          <w:sz w:val="24"/>
        </w:rPr>
        <w:t>2.2投标人应对招标人提出的各项技术要求同意进行技术（担保）承诺，并保证招标人不因此受到任何侵权指控和实际损失：</w:t>
      </w:r>
    </w:p>
    <w:p w14:paraId="2CDB3726">
      <w:pPr>
        <w:spacing w:line="360" w:lineRule="auto"/>
        <w:ind w:firstLine="480" w:firstLineChars="200"/>
        <w:rPr>
          <w:rFonts w:hint="eastAsia" w:ascii="宋体" w:hAnsi="宋体" w:cs="宋体"/>
          <w:sz w:val="24"/>
        </w:rPr>
      </w:pPr>
      <w:r>
        <w:rPr>
          <w:rFonts w:hint="eastAsia" w:ascii="宋体" w:hAnsi="宋体" w:cs="宋体"/>
          <w:sz w:val="24"/>
        </w:rPr>
        <w:t>2.3投标人应保证所供设备（或材料）的先进性、可靠性、经济性和实用性，并为全新设备（或材料）;</w:t>
      </w:r>
    </w:p>
    <w:p w14:paraId="048A36BA">
      <w:pPr>
        <w:spacing w:line="360" w:lineRule="auto"/>
        <w:ind w:firstLine="496" w:firstLineChars="200"/>
        <w:rPr>
          <w:rFonts w:hint="eastAsia" w:ascii="宋体" w:hAnsi="宋体" w:cs="宋体"/>
          <w:bCs/>
          <w:sz w:val="24"/>
        </w:rPr>
      </w:pPr>
      <w:r>
        <w:rPr>
          <w:rFonts w:hint="eastAsia" w:ascii="宋体" w:hAnsi="宋体"/>
          <w:spacing w:val="4"/>
          <w:sz w:val="24"/>
        </w:rPr>
        <w:t>2.4使用环境：</w:t>
      </w:r>
      <w:r>
        <w:rPr>
          <w:rFonts w:hint="eastAsia" w:ascii="宋体" w:hAnsi="宋体" w:cs="宋体"/>
          <w:bCs/>
          <w:sz w:val="24"/>
        </w:rPr>
        <w:t>海拔高度：1000m以下；环境温度：室外极端最低温度-20℃、极端最高温度45℃，昼夜最大温差25℃；室内温度5～42℃；相对湿度：年平均59%，最大95%、最小15%；地震设防裂度：七度；</w:t>
      </w:r>
      <w:r>
        <w:rPr>
          <w:rFonts w:hint="eastAsia" w:hAnsi="宋体" w:cs="宋体"/>
          <w:bCs/>
          <w:sz w:val="24"/>
        </w:rPr>
        <w:t>给水：市政自来水。</w:t>
      </w:r>
    </w:p>
    <w:p w14:paraId="6FF97F83">
      <w:pPr>
        <w:spacing w:line="360" w:lineRule="auto"/>
        <w:ind w:firstLine="480" w:firstLineChars="200"/>
        <w:rPr>
          <w:rFonts w:hint="eastAsia" w:ascii="宋体" w:hAnsi="宋体"/>
          <w:spacing w:val="4"/>
          <w:sz w:val="24"/>
        </w:rPr>
      </w:pPr>
      <w:r>
        <w:rPr>
          <w:rFonts w:hint="eastAsia" w:ascii="宋体" w:hAnsi="宋体" w:cs="宋体"/>
          <w:bCs/>
          <w:sz w:val="24"/>
        </w:rPr>
        <w:t>2.5现场电力：中国制式，供电电压380V±15%/220V±15%，供电频率50Hz±2%；</w:t>
      </w:r>
    </w:p>
    <w:p w14:paraId="03EA53A4">
      <w:pPr>
        <w:spacing w:line="360" w:lineRule="auto"/>
        <w:ind w:firstLine="496" w:firstLineChars="200"/>
        <w:rPr>
          <w:rFonts w:hint="eastAsia" w:ascii="宋体" w:hAnsi="宋体"/>
          <w:spacing w:val="4"/>
          <w:sz w:val="24"/>
        </w:rPr>
      </w:pPr>
      <w:r>
        <w:rPr>
          <w:rFonts w:hint="eastAsia" w:ascii="宋体" w:hAnsi="宋体"/>
          <w:spacing w:val="4"/>
          <w:sz w:val="24"/>
        </w:rPr>
        <w:t>2.6 投标方所供货物涉及的专利权技术以及知识产权保护的其它技术等，应保证招标方不因此受到任何侵权指控以及实际损失。</w:t>
      </w:r>
    </w:p>
    <w:p w14:paraId="1E2384FE">
      <w:pPr>
        <w:spacing w:line="360" w:lineRule="auto"/>
        <w:ind w:left="124" w:leftChars="59" w:firstLine="500" w:firstLineChars="202"/>
        <w:rPr>
          <w:rFonts w:hint="eastAsia" w:ascii="宋体" w:hAnsi="宋体"/>
          <w:spacing w:val="4"/>
          <w:sz w:val="24"/>
        </w:rPr>
      </w:pPr>
      <w:r>
        <w:rPr>
          <w:rFonts w:hint="eastAsia" w:ascii="宋体" w:hAnsi="宋体"/>
          <w:spacing w:val="4"/>
          <w:sz w:val="24"/>
        </w:rPr>
        <w:t>2.7 投标方应保证所供货物的先进性、可靠性、经济性和实用性，并为全新货物。</w:t>
      </w:r>
    </w:p>
    <w:p w14:paraId="068E09E0">
      <w:pPr>
        <w:spacing w:line="360" w:lineRule="auto"/>
        <w:ind w:left="124" w:leftChars="59" w:firstLine="500" w:firstLineChars="202"/>
        <w:rPr>
          <w:rFonts w:hint="eastAsia" w:ascii="宋体" w:hAnsi="宋体"/>
          <w:spacing w:val="4"/>
          <w:sz w:val="24"/>
        </w:rPr>
      </w:pPr>
      <w:r>
        <w:rPr>
          <w:rFonts w:hint="eastAsia" w:ascii="宋体" w:hAnsi="宋体"/>
          <w:spacing w:val="4"/>
          <w:sz w:val="24"/>
        </w:rPr>
        <w:t>2.8投标方应满足招标方提出的各项技术要求，必要时应当免费提供技术承诺或担保。</w:t>
      </w:r>
    </w:p>
    <w:p w14:paraId="2F3572FF">
      <w:pPr>
        <w:spacing w:line="360" w:lineRule="auto"/>
        <w:ind w:left="124" w:leftChars="59" w:firstLine="500" w:firstLineChars="202"/>
        <w:rPr>
          <w:rFonts w:hint="eastAsia" w:ascii="宋体" w:hAnsi="宋体"/>
          <w:spacing w:val="4"/>
          <w:sz w:val="24"/>
        </w:rPr>
      </w:pPr>
      <w:r>
        <w:rPr>
          <w:rFonts w:hint="eastAsia" w:ascii="宋体" w:hAnsi="宋体"/>
          <w:spacing w:val="4"/>
          <w:sz w:val="24"/>
        </w:rPr>
        <w:t>2.9投标方应保证所供货物为中国公布的非淘汰货物，并为中国指定或规定的主管部门认可的环保型和节能型货物。</w:t>
      </w:r>
    </w:p>
    <w:p w14:paraId="0DF7141C">
      <w:pPr>
        <w:spacing w:line="360" w:lineRule="auto"/>
        <w:ind w:left="124" w:leftChars="59" w:firstLine="500" w:firstLineChars="202"/>
        <w:rPr>
          <w:rFonts w:hint="eastAsia" w:ascii="宋体" w:hAnsi="宋体"/>
          <w:spacing w:val="4"/>
          <w:sz w:val="24"/>
        </w:rPr>
      </w:pPr>
      <w:r>
        <w:rPr>
          <w:rFonts w:hint="eastAsia" w:ascii="宋体" w:hAnsi="宋体"/>
          <w:spacing w:val="4"/>
          <w:sz w:val="24"/>
        </w:rPr>
        <w:t>2.10 投标方应保证所供货物的完整性和成套性，能保证货物的正常运行、使用。</w:t>
      </w:r>
    </w:p>
    <w:p w14:paraId="43BF99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2.11投标方应对招标方采购的货物所涉及的技术、产能等信息负有保密义务，招标方 拥有追究投标方泄密责任的权利；招标方如有需要，投标方应无条件签署保密协议。</w:t>
      </w:r>
    </w:p>
    <w:p w14:paraId="2BD144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2.12投标方中标后预验收时需提供进口设备、部件的报关清关资料。</w:t>
      </w:r>
    </w:p>
    <w:p w14:paraId="1FE437CD">
      <w:pPr>
        <w:spacing w:line="360" w:lineRule="auto"/>
        <w:ind w:left="124" w:leftChars="59" w:firstLine="484" w:firstLineChars="202"/>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2.13.</w:t>
      </w:r>
      <w:r>
        <w:rPr>
          <w:rFonts w:hint="eastAsia" w:ascii="宋体" w:hAnsi="宋体" w:eastAsia="宋体" w:cs="宋体"/>
          <w:sz w:val="24"/>
          <w:szCs w:val="24"/>
          <w:highlight w:val="none"/>
        </w:rPr>
        <w:t>设备用能设计基本要求：任何用能设备均应遵循《能源管理体系要求》（GB/T23331-2012）的相关规定，并在《能源管理体系要求》下开展设备的采购、维护、保养、淘汰更换等工作。</w:t>
      </w:r>
    </w:p>
    <w:p w14:paraId="6011CCBE">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2.14</w:t>
      </w:r>
      <w:r>
        <w:rPr>
          <w:rFonts w:hint="eastAsia" w:ascii="宋体" w:hAnsi="宋体" w:eastAsia="宋体" w:cs="宋体"/>
          <w:sz w:val="24"/>
          <w:szCs w:val="24"/>
          <w:highlight w:val="none"/>
        </w:rPr>
        <w:t>为方便用能设备的计量统计，新增采购设备应在《用能单位能源计量器具配备和管理通则》（GB17167-2006）指导下配备符合相应要求的能源计量器具。</w:t>
      </w:r>
    </w:p>
    <w:p w14:paraId="4AD1EF6A">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2.15</w:t>
      </w:r>
      <w:r>
        <w:rPr>
          <w:rFonts w:hint="eastAsia" w:ascii="宋体" w:hAnsi="宋体" w:eastAsia="宋体" w:cs="宋体"/>
          <w:sz w:val="24"/>
          <w:szCs w:val="24"/>
          <w:highlight w:val="none"/>
        </w:rPr>
        <w:t>供方应确保各类机电设备（产品）无《高耗能机电设备（产品）淘汰目录（第一批）》、《高耗能机电设备（产品）淘汰目录（第二批）》、《高耗能机电设备（产品）淘汰目录（第三批）》所罗列的各类淘汰机电设备（产品）。</w:t>
      </w:r>
    </w:p>
    <w:p w14:paraId="18A61329">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2.16</w:t>
      </w:r>
      <w:r>
        <w:rPr>
          <w:rFonts w:hint="eastAsia" w:ascii="宋体" w:hAnsi="宋体" w:eastAsia="宋体" w:cs="宋体"/>
          <w:sz w:val="24"/>
          <w:szCs w:val="24"/>
          <w:highlight w:val="none"/>
        </w:rPr>
        <w:t>在各类机电设备（产品）的采购过程中应优先选用符合《节能机电设备（产品）推荐目录（第四批）》的机电设备（产品）。</w:t>
      </w:r>
    </w:p>
    <w:p w14:paraId="27EABB60">
      <w:pPr>
        <w:spacing w:line="360" w:lineRule="auto"/>
        <w:ind w:firstLine="480" w:firstLineChars="200"/>
        <w:rPr>
          <w:rFonts w:hint="eastAsia" w:ascii="宋体" w:hAnsi="宋体"/>
          <w:spacing w:val="4"/>
          <w:sz w:val="24"/>
        </w:rPr>
      </w:pPr>
      <w:r>
        <w:rPr>
          <w:rFonts w:hint="eastAsia" w:ascii="宋体" w:hAnsi="宋体" w:eastAsia="宋体" w:cs="宋体"/>
          <w:sz w:val="24"/>
          <w:szCs w:val="24"/>
          <w:highlight w:val="none"/>
          <w:lang w:val="en-US" w:eastAsia="zh-CN"/>
        </w:rPr>
        <w:t>2.17</w:t>
      </w:r>
      <w:r>
        <w:rPr>
          <w:rFonts w:hint="eastAsia" w:ascii="宋体" w:hAnsi="宋体" w:eastAsia="宋体" w:cs="宋体"/>
          <w:sz w:val="24"/>
          <w:szCs w:val="24"/>
          <w:highlight w:val="none"/>
        </w:rPr>
        <w:t>供方应确保设备的附属各类机电设备、设施（如：电机、风机、电器控制系统、润滑、保温隔热、照明等等）符合国家现行的相关专项标准要求。</w:t>
      </w:r>
    </w:p>
    <w:p w14:paraId="65CCB56F">
      <w:pPr>
        <w:spacing w:line="360" w:lineRule="auto"/>
        <w:rPr>
          <w:rFonts w:hint="eastAsia" w:ascii="宋体" w:hAnsi="宋体"/>
          <w:b/>
          <w:bCs/>
          <w:spacing w:val="4"/>
          <w:sz w:val="24"/>
        </w:rPr>
      </w:pPr>
      <w:r>
        <w:rPr>
          <w:rFonts w:hint="eastAsia" w:ascii="宋体" w:hAnsi="宋体"/>
          <w:b/>
          <w:bCs/>
          <w:spacing w:val="4"/>
          <w:sz w:val="24"/>
        </w:rPr>
        <w:t>3、执行标准</w:t>
      </w:r>
    </w:p>
    <w:p w14:paraId="499A9932">
      <w:pPr>
        <w:spacing w:line="360" w:lineRule="auto"/>
        <w:ind w:left="124" w:leftChars="59" w:firstLine="500" w:firstLineChars="202"/>
        <w:rPr>
          <w:rFonts w:hint="eastAsia" w:ascii="宋体" w:hAnsi="宋体"/>
          <w:spacing w:val="4"/>
          <w:sz w:val="24"/>
        </w:rPr>
      </w:pPr>
      <w:r>
        <w:rPr>
          <w:rFonts w:hint="eastAsia" w:ascii="宋体" w:hAnsi="宋体"/>
          <w:spacing w:val="4"/>
          <w:sz w:val="24"/>
        </w:rPr>
        <w:t>3.1 招标方此处所列标准仅为涉及的主要标准，投标方应当在投标文件中认真予以填写、补充和修改完善。</w:t>
      </w:r>
    </w:p>
    <w:p w14:paraId="14E379C7">
      <w:pPr>
        <w:spacing w:line="360" w:lineRule="auto"/>
        <w:ind w:left="124" w:leftChars="59" w:firstLine="500" w:firstLineChars="202"/>
        <w:rPr>
          <w:rFonts w:hint="eastAsia" w:ascii="宋体" w:hAnsi="宋体"/>
          <w:spacing w:val="4"/>
          <w:sz w:val="24"/>
        </w:rPr>
      </w:pPr>
      <w:r>
        <w:rPr>
          <w:rFonts w:hint="eastAsia" w:ascii="宋体" w:hAnsi="宋体"/>
          <w:spacing w:val="4"/>
          <w:sz w:val="24"/>
        </w:rPr>
        <w:t>3.2 投标方需要执行的标准，应当采用所供货物通过招标方组织的最终验收之日已经开始执行的最新标准。</w:t>
      </w:r>
    </w:p>
    <w:p w14:paraId="28598AF5">
      <w:pPr>
        <w:spacing w:line="360" w:lineRule="auto"/>
        <w:ind w:left="124" w:leftChars="59" w:firstLine="500" w:firstLineChars="202"/>
        <w:rPr>
          <w:rFonts w:hint="eastAsia" w:ascii="宋体" w:hAnsi="宋体"/>
          <w:spacing w:val="4"/>
          <w:sz w:val="24"/>
        </w:rPr>
      </w:pPr>
      <w:r>
        <w:rPr>
          <w:rFonts w:hint="eastAsia" w:ascii="宋体" w:hAnsi="宋体"/>
          <w:spacing w:val="4"/>
          <w:sz w:val="24"/>
        </w:rPr>
        <w:t>3.3 采购货物的产品质量、技术标准如在招投标文件中无相应说明，则按中华人民共和国有关部门颁发的最新的国标或专业（部）标准执行及相应的国际标准。</w:t>
      </w:r>
    </w:p>
    <w:p w14:paraId="18F11BD5">
      <w:pPr>
        <w:spacing w:line="360" w:lineRule="auto"/>
        <w:ind w:left="124" w:leftChars="59" w:firstLine="500" w:firstLineChars="202"/>
        <w:rPr>
          <w:rFonts w:hint="eastAsia" w:ascii="宋体" w:hAnsi="宋体"/>
          <w:spacing w:val="4"/>
          <w:sz w:val="24"/>
        </w:rPr>
      </w:pPr>
      <w:r>
        <w:rPr>
          <w:rFonts w:hint="eastAsia" w:ascii="宋体" w:hAnsi="宋体"/>
          <w:spacing w:val="4"/>
          <w:sz w:val="24"/>
        </w:rPr>
        <w:t>3.4 采购货物没有中国国家或专业（部）标准的，按企业标准执行时，投标方应在合同签署之前，将所涉及的企业标准提供给招标方确认。</w:t>
      </w:r>
    </w:p>
    <w:p w14:paraId="5E75302E">
      <w:pPr>
        <w:spacing w:line="360" w:lineRule="auto"/>
        <w:ind w:left="124" w:leftChars="59" w:firstLine="500" w:firstLineChars="202"/>
        <w:rPr>
          <w:rFonts w:hint="eastAsia" w:ascii="宋体" w:hAnsi="宋体"/>
          <w:spacing w:val="4"/>
          <w:sz w:val="24"/>
        </w:rPr>
      </w:pPr>
      <w:r>
        <w:rPr>
          <w:rFonts w:hint="eastAsia" w:ascii="宋体" w:hAnsi="宋体"/>
          <w:spacing w:val="4"/>
          <w:sz w:val="24"/>
        </w:rPr>
        <w:t>3.5 采购货物如果采用国际标准，其执行标准由投标方提供、招标方确认。</w:t>
      </w:r>
    </w:p>
    <w:p w14:paraId="505F2410">
      <w:pPr>
        <w:spacing w:line="360" w:lineRule="auto"/>
        <w:ind w:left="124" w:leftChars="59" w:firstLine="500" w:firstLineChars="202"/>
        <w:rPr>
          <w:rFonts w:hint="eastAsia" w:ascii="宋体" w:hAnsi="宋体"/>
          <w:spacing w:val="4"/>
          <w:sz w:val="24"/>
        </w:rPr>
      </w:pPr>
      <w:r>
        <w:rPr>
          <w:rFonts w:hint="eastAsia" w:ascii="宋体" w:hAnsi="宋体"/>
          <w:spacing w:val="4"/>
          <w:sz w:val="24"/>
        </w:rPr>
        <w:t>3.6 采购货物所涉及的标准不统一时，原则上按照最严格标准执行。</w:t>
      </w:r>
    </w:p>
    <w:p w14:paraId="1AC350D4">
      <w:pPr>
        <w:spacing w:line="360" w:lineRule="auto"/>
        <w:ind w:left="124" w:leftChars="59" w:firstLine="500" w:firstLineChars="202"/>
        <w:rPr>
          <w:rFonts w:hint="eastAsia" w:ascii="宋体" w:hAnsi="宋体"/>
          <w:spacing w:val="4"/>
          <w:sz w:val="24"/>
        </w:rPr>
      </w:pPr>
      <w:r>
        <w:rPr>
          <w:rFonts w:hint="eastAsia" w:ascii="宋体" w:hAnsi="宋体"/>
          <w:spacing w:val="4"/>
          <w:sz w:val="24"/>
        </w:rPr>
        <w:t>3.7 必须保证所提供的设备、材料和服务遵守相关标准的最新修改版本和所有其它适用的标准（以最新在执行标准为准、标准要求重叠时以最严格条款为准）。</w:t>
      </w:r>
    </w:p>
    <w:p w14:paraId="5D1EDA37">
      <w:pPr>
        <w:spacing w:line="360" w:lineRule="auto"/>
        <w:ind w:firstLine="249"/>
        <w:rPr>
          <w:rFonts w:hint="default" w:ascii="宋体" w:hAnsi="宋体" w:eastAsia="宋体"/>
          <w:b/>
          <w:bCs/>
          <w:spacing w:val="4"/>
          <w:sz w:val="24"/>
          <w:lang w:val="en-US" w:eastAsia="zh-CN"/>
        </w:rPr>
      </w:pPr>
      <w:bookmarkStart w:id="65" w:name="_Hlk189730301"/>
      <w:r>
        <w:rPr>
          <w:rFonts w:hint="eastAsia" w:ascii="宋体" w:hAnsi="宋体"/>
          <w:b/>
          <w:bCs/>
          <w:spacing w:val="4"/>
          <w:sz w:val="24"/>
        </w:rPr>
        <w:t>4、总体要求技术规范</w:t>
      </w:r>
    </w:p>
    <w:p w14:paraId="1075B278">
      <w:pPr>
        <w:spacing w:line="360" w:lineRule="auto"/>
        <w:ind w:left="124" w:leftChars="59" w:firstLine="500" w:firstLineChars="202"/>
        <w:rPr>
          <w:rFonts w:hint="eastAsia" w:ascii="宋体" w:hAnsi="宋体"/>
          <w:spacing w:val="4"/>
          <w:sz w:val="24"/>
        </w:rPr>
      </w:pPr>
      <w:r>
        <w:rPr>
          <w:rFonts w:hint="eastAsia" w:ascii="宋体" w:hAnsi="宋体"/>
          <w:spacing w:val="4"/>
          <w:sz w:val="24"/>
        </w:rPr>
        <w:t>在基本要求和执行标准基础上，对所采购的货物的技术及满足使用工况等方面作出如下要求：</w:t>
      </w:r>
    </w:p>
    <w:p w14:paraId="227CC5F5">
      <w:pPr>
        <w:spacing w:line="360" w:lineRule="auto"/>
        <w:ind w:left="124" w:leftChars="59" w:firstLine="500" w:firstLineChars="202"/>
        <w:rPr>
          <w:rFonts w:hint="eastAsia" w:ascii="宋体" w:hAnsi="宋体"/>
          <w:spacing w:val="4"/>
          <w:sz w:val="24"/>
        </w:rPr>
      </w:pPr>
      <w:r>
        <w:rPr>
          <w:rFonts w:hint="eastAsia" w:ascii="宋体" w:hAnsi="宋体"/>
          <w:spacing w:val="4"/>
          <w:sz w:val="24"/>
        </w:rPr>
        <w:t>4.1 生产纲领及节拍</w:t>
      </w:r>
    </w:p>
    <w:p w14:paraId="08188507">
      <w:pPr>
        <w:spacing w:line="360" w:lineRule="auto"/>
        <w:ind w:left="124" w:leftChars="59" w:firstLine="500" w:firstLineChars="202"/>
        <w:rPr>
          <w:rFonts w:hint="eastAsia" w:ascii="宋体" w:hAnsi="宋体"/>
          <w:spacing w:val="4"/>
          <w:sz w:val="24"/>
        </w:rPr>
      </w:pPr>
      <w:r>
        <w:rPr>
          <w:rFonts w:hint="eastAsia" w:ascii="宋体" w:hAnsi="宋体"/>
          <w:spacing w:val="4"/>
          <w:sz w:val="24"/>
        </w:rPr>
        <w:t>本项目的工作制度、产能、节拍及效率如下，投标方提供的设施、设备必须满足此要求。</w:t>
      </w:r>
    </w:p>
    <w:p w14:paraId="261E99B8">
      <w:pPr>
        <w:spacing w:line="360" w:lineRule="auto"/>
        <w:ind w:left="124" w:leftChars="59" w:firstLine="500" w:firstLineChars="202"/>
        <w:rPr>
          <w:rFonts w:hint="eastAsia" w:ascii="宋体" w:hAnsi="宋体"/>
          <w:spacing w:val="4"/>
          <w:sz w:val="24"/>
        </w:rPr>
      </w:pPr>
      <w:r>
        <w:rPr>
          <w:rFonts w:hint="eastAsia" w:ascii="宋体" w:hAnsi="宋体"/>
          <w:spacing w:val="4"/>
          <w:sz w:val="24"/>
        </w:rPr>
        <w:t>4.1.1 处理产能：全年工作300天、两班制。</w:t>
      </w:r>
    </w:p>
    <w:p w14:paraId="190E1656">
      <w:pPr>
        <w:spacing w:line="360" w:lineRule="auto"/>
        <w:ind w:left="124" w:leftChars="59" w:firstLine="500" w:firstLineChars="202"/>
        <w:rPr>
          <w:rFonts w:hint="eastAsia" w:ascii="宋体" w:hAnsi="宋体"/>
          <w:spacing w:val="4"/>
          <w:sz w:val="24"/>
        </w:rPr>
      </w:pPr>
      <w:r>
        <w:rPr>
          <w:rFonts w:hint="eastAsia" w:ascii="宋体" w:hAnsi="宋体"/>
          <w:spacing w:val="4"/>
          <w:sz w:val="24"/>
        </w:rPr>
        <w:t>4.1.2 节拍要求：</w:t>
      </w:r>
      <w:r>
        <w:rPr>
          <w:rFonts w:hint="eastAsia" w:ascii="宋体" w:hAnsi="宋体"/>
          <w:spacing w:val="4"/>
          <w:sz w:val="24"/>
          <w:lang w:val="en-US" w:eastAsia="zh-CN"/>
        </w:rPr>
        <w:t>双班240</w:t>
      </w:r>
      <w:r>
        <w:rPr>
          <w:rFonts w:hint="eastAsia" w:ascii="宋体" w:hAnsi="宋体"/>
          <w:spacing w:val="4"/>
          <w:sz w:val="24"/>
        </w:rPr>
        <w:t>辆/日。</w:t>
      </w:r>
    </w:p>
    <w:p w14:paraId="3547EC75">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4.2性能要求</w:t>
      </w:r>
    </w:p>
    <w:p w14:paraId="58A7E3A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4.2.1上述设备应能在规定的环境下长期安全、可靠、平稳运行，并满足各种性能和工况要求。应有良好的可控性能，合理的运行操作方式及就地停启、调试和正常及事故情况下必须的检测、控制条件及保护等措施，以确保设备的安全经济运行。</w:t>
      </w:r>
    </w:p>
    <w:p w14:paraId="4CBFE95E">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4.2.2制造加工必须符合国家相关标准及行业标准、企业标准。</w:t>
      </w:r>
    </w:p>
    <w:p w14:paraId="791F61C4">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4.2.3设备性能应满足设计及使用要求，产品结构设计应紧凑、简单，检修维护方便，并有良好的密封。</w:t>
      </w:r>
    </w:p>
    <w:p w14:paraId="08F9B9C3">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4.2.4整机具有良好的防锈蚀、防磨损性能和高度的运行可靠性。</w:t>
      </w:r>
    </w:p>
    <w:p w14:paraId="5EB864DA">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cs="Times New Roman"/>
          <w:spacing w:val="4"/>
          <w:sz w:val="24"/>
          <w:lang w:val="en-US" w:eastAsia="zh-CN"/>
        </w:rPr>
        <w:t>4</w:t>
      </w:r>
      <w:r>
        <w:rPr>
          <w:rFonts w:hint="eastAsia" w:ascii="宋体" w:hAnsi="宋体" w:eastAsia="宋体" w:cs="Times New Roman"/>
          <w:spacing w:val="4"/>
          <w:sz w:val="24"/>
          <w:lang w:val="en-US" w:eastAsia="zh-CN"/>
        </w:rPr>
        <w:t>.2.5、本体及支座设计应能满足当地地震烈度所必须的强度要求，并保证结构上的完整性。设备零部件应采用先进、可靠的加工制造技术，有良好的表面几何形状及合适的公差配合。加热箱发热元件拆卸方便，采用专用扳手可在不拆卸固定板的情况下很方便的进行更换。</w:t>
      </w:r>
    </w:p>
    <w:p w14:paraId="0D402E36">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4.3安全要求</w:t>
      </w:r>
    </w:p>
    <w:p w14:paraId="7243F661">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4.3.1、外形结构保护：工装对于人员、工件和车身可能构成危险的地方都有保护。</w:t>
      </w:r>
    </w:p>
    <w:p w14:paraId="7B3A7723">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4.3.2、所有工装经过去毛刺、去棱角处理，避免损伤工件及车体的面漆或留下压痕。</w:t>
      </w:r>
    </w:p>
    <w:bookmarkEnd w:id="65"/>
    <w:p w14:paraId="0631AF48">
      <w:pPr>
        <w:spacing w:line="360" w:lineRule="auto"/>
        <w:ind w:firstLine="249"/>
        <w:rPr>
          <w:rFonts w:hint="eastAsia" w:ascii="宋体" w:hAnsi="宋体" w:eastAsia="宋体"/>
          <w:b/>
          <w:bCs/>
          <w:spacing w:val="4"/>
          <w:sz w:val="24"/>
          <w:highlight w:val="none"/>
          <w:lang w:val="en-US" w:eastAsia="zh-CN"/>
        </w:rPr>
      </w:pPr>
      <w:r>
        <w:rPr>
          <w:rFonts w:hint="eastAsia" w:ascii="宋体" w:hAnsi="宋体"/>
          <w:b/>
          <w:bCs/>
          <w:spacing w:val="4"/>
          <w:sz w:val="24"/>
          <w:highlight w:val="none"/>
        </w:rPr>
        <w:t>5.项目</w:t>
      </w:r>
      <w:r>
        <w:rPr>
          <w:rFonts w:hint="eastAsia" w:ascii="宋体" w:hAnsi="宋体"/>
          <w:b/>
          <w:bCs/>
          <w:spacing w:val="4"/>
          <w:sz w:val="24"/>
          <w:highlight w:val="none"/>
          <w:lang w:val="en-US" w:eastAsia="zh-CN"/>
        </w:rPr>
        <w:t>主要内容</w:t>
      </w:r>
      <w:r>
        <w:rPr>
          <w:rFonts w:hint="eastAsia" w:ascii="宋体" w:hAnsi="宋体"/>
          <w:b/>
          <w:bCs/>
          <w:spacing w:val="4"/>
          <w:sz w:val="24"/>
          <w:highlight w:val="none"/>
        </w:rPr>
        <w:t>与技术要求</w:t>
      </w:r>
      <w:r>
        <w:rPr>
          <w:rFonts w:hint="eastAsia" w:ascii="宋体" w:hAnsi="宋体"/>
          <w:b/>
          <w:bCs/>
          <w:spacing w:val="4"/>
          <w:sz w:val="24"/>
          <w:highlight w:val="none"/>
          <w:lang w:eastAsia="zh-CN"/>
        </w:rPr>
        <w:t>、</w:t>
      </w:r>
      <w:r>
        <w:rPr>
          <w:rFonts w:hint="eastAsia" w:ascii="宋体" w:hAnsi="宋体"/>
          <w:b/>
          <w:bCs/>
          <w:spacing w:val="4"/>
          <w:sz w:val="24"/>
          <w:highlight w:val="none"/>
          <w:lang w:val="en-US" w:eastAsia="zh-CN"/>
        </w:rPr>
        <w:t>备品备件等</w:t>
      </w:r>
    </w:p>
    <w:p w14:paraId="62CB504F">
      <w:pPr>
        <w:spacing w:line="360" w:lineRule="auto"/>
        <w:ind w:firstLine="498" w:firstLineChars="200"/>
        <w:rPr>
          <w:rFonts w:hint="eastAsia" w:ascii="宋体" w:hAnsi="宋体"/>
          <w:spacing w:val="4"/>
          <w:sz w:val="24"/>
          <w:highlight w:val="none"/>
        </w:rPr>
      </w:pPr>
      <w:r>
        <w:rPr>
          <w:rFonts w:hint="eastAsia" w:ascii="宋体" w:hAnsi="宋体"/>
          <w:b/>
          <w:bCs/>
          <w:spacing w:val="4"/>
          <w:sz w:val="24"/>
          <w:highlight w:val="none"/>
        </w:rPr>
        <w:t>5.1项目</w:t>
      </w:r>
      <w:r>
        <w:rPr>
          <w:rFonts w:hint="eastAsia" w:ascii="宋体" w:hAnsi="宋体"/>
          <w:b/>
          <w:bCs/>
          <w:spacing w:val="4"/>
          <w:sz w:val="24"/>
          <w:highlight w:val="none"/>
          <w:lang w:val="en-US" w:eastAsia="zh-CN"/>
        </w:rPr>
        <w:t>主要</w:t>
      </w:r>
      <w:r>
        <w:rPr>
          <w:rFonts w:hint="eastAsia" w:ascii="宋体" w:hAnsi="宋体"/>
          <w:b/>
          <w:bCs/>
          <w:spacing w:val="4"/>
          <w:sz w:val="24"/>
          <w:highlight w:val="none"/>
        </w:rPr>
        <w:t>内容</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905"/>
        <w:gridCol w:w="1260"/>
        <w:gridCol w:w="1118"/>
      </w:tblGrid>
      <w:tr w14:paraId="1B2C8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659268FF">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序号</w:t>
            </w:r>
          </w:p>
        </w:tc>
        <w:tc>
          <w:tcPr>
            <w:tcW w:w="1755" w:type="dxa"/>
            <w:vAlign w:val="center"/>
          </w:tcPr>
          <w:p w14:paraId="4F0BBE5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项目内容</w:t>
            </w:r>
          </w:p>
        </w:tc>
        <w:tc>
          <w:tcPr>
            <w:tcW w:w="1515" w:type="dxa"/>
            <w:vAlign w:val="center"/>
          </w:tcPr>
          <w:p w14:paraId="61A1BAF9">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数量</w:t>
            </w:r>
            <w:r>
              <w:rPr>
                <w:rFonts w:hint="eastAsia" w:ascii="宋体" w:hAnsi="宋体" w:cs="宋体"/>
                <w:sz w:val="24"/>
                <w:szCs w:val="28"/>
                <w:highlight w:val="none"/>
                <w:lang w:val="en-US" w:eastAsia="zh-CN"/>
              </w:rPr>
              <w:t>（套）</w:t>
            </w:r>
          </w:p>
        </w:tc>
        <w:tc>
          <w:tcPr>
            <w:tcW w:w="1905" w:type="dxa"/>
            <w:vAlign w:val="center"/>
          </w:tcPr>
          <w:p w14:paraId="16062609">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交货地点</w:t>
            </w:r>
          </w:p>
        </w:tc>
        <w:tc>
          <w:tcPr>
            <w:tcW w:w="1260" w:type="dxa"/>
            <w:vAlign w:val="center"/>
          </w:tcPr>
          <w:p w14:paraId="102085E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交货方式</w:t>
            </w:r>
          </w:p>
        </w:tc>
        <w:tc>
          <w:tcPr>
            <w:tcW w:w="1118" w:type="dxa"/>
            <w:vAlign w:val="center"/>
          </w:tcPr>
          <w:p w14:paraId="40EC5EC1">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cs="宋体"/>
                <w:sz w:val="24"/>
                <w:szCs w:val="28"/>
                <w:highlight w:val="none"/>
                <w:lang w:val="en-US" w:eastAsia="zh-CN"/>
              </w:rPr>
              <w:t>备注</w:t>
            </w:r>
          </w:p>
        </w:tc>
      </w:tr>
      <w:tr w14:paraId="6B4B4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0" w:type="dxa"/>
            <w:vAlign w:val="center"/>
          </w:tcPr>
          <w:p w14:paraId="738FCAD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1</w:t>
            </w:r>
          </w:p>
        </w:tc>
        <w:tc>
          <w:tcPr>
            <w:tcW w:w="1755" w:type="dxa"/>
            <w:vAlign w:val="center"/>
          </w:tcPr>
          <w:p w14:paraId="6F7DE28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划格器</w:t>
            </w:r>
          </w:p>
        </w:tc>
        <w:tc>
          <w:tcPr>
            <w:tcW w:w="1515" w:type="dxa"/>
            <w:vAlign w:val="center"/>
          </w:tcPr>
          <w:p w14:paraId="5910666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1</w:t>
            </w:r>
          </w:p>
        </w:tc>
        <w:tc>
          <w:tcPr>
            <w:tcW w:w="1905" w:type="dxa"/>
            <w:vMerge w:val="restart"/>
            <w:vAlign w:val="center"/>
          </w:tcPr>
          <w:p w14:paraId="6EA1868D">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kern w:val="2"/>
                <w:sz w:val="24"/>
                <w:szCs w:val="28"/>
                <w:highlight w:val="none"/>
                <w:lang w:val="en-US" w:eastAsia="zh-CN" w:bidi="ar-SA"/>
              </w:rPr>
              <w:t>山东省济宁市诗仙路369号济宁商用车厂区</w:t>
            </w:r>
          </w:p>
        </w:tc>
        <w:tc>
          <w:tcPr>
            <w:tcW w:w="1260" w:type="dxa"/>
            <w:vMerge w:val="restart"/>
            <w:vAlign w:val="center"/>
          </w:tcPr>
          <w:p w14:paraId="68AC41B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交钥匙方式</w:t>
            </w:r>
          </w:p>
        </w:tc>
        <w:tc>
          <w:tcPr>
            <w:tcW w:w="1118" w:type="dxa"/>
            <w:vMerge w:val="restart"/>
            <w:vAlign w:val="center"/>
          </w:tcPr>
          <w:p w14:paraId="341FC1F1">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3F87C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2DDE19D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2</w:t>
            </w:r>
          </w:p>
        </w:tc>
        <w:tc>
          <w:tcPr>
            <w:tcW w:w="1755" w:type="dxa"/>
            <w:vAlign w:val="center"/>
          </w:tcPr>
          <w:p w14:paraId="06739B1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漆膜测厚仪</w:t>
            </w:r>
          </w:p>
        </w:tc>
        <w:tc>
          <w:tcPr>
            <w:tcW w:w="1515" w:type="dxa"/>
            <w:vAlign w:val="center"/>
          </w:tcPr>
          <w:p w14:paraId="75F12450">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37A8C74F">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53CDA7C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71799150">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236A6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32B9C930">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3</w:t>
            </w:r>
          </w:p>
        </w:tc>
        <w:tc>
          <w:tcPr>
            <w:tcW w:w="1755" w:type="dxa"/>
            <w:vAlign w:val="center"/>
          </w:tcPr>
          <w:p w14:paraId="2194CAB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铅笔硬度计</w:t>
            </w:r>
          </w:p>
        </w:tc>
        <w:tc>
          <w:tcPr>
            <w:tcW w:w="1515" w:type="dxa"/>
            <w:vAlign w:val="center"/>
          </w:tcPr>
          <w:p w14:paraId="7D4498E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74A0F31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2009071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5987818">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157C7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4F9F740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4</w:t>
            </w:r>
          </w:p>
        </w:tc>
        <w:tc>
          <w:tcPr>
            <w:tcW w:w="1755" w:type="dxa"/>
            <w:vAlign w:val="center"/>
          </w:tcPr>
          <w:p w14:paraId="30E81D3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刮板细度计</w:t>
            </w:r>
          </w:p>
        </w:tc>
        <w:tc>
          <w:tcPr>
            <w:tcW w:w="1515" w:type="dxa"/>
            <w:vAlign w:val="center"/>
          </w:tcPr>
          <w:p w14:paraId="486FF3B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24B65E77">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65EB82F0">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2CA93137">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69D8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51D631A0">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5</w:t>
            </w:r>
          </w:p>
        </w:tc>
        <w:tc>
          <w:tcPr>
            <w:tcW w:w="1755" w:type="dxa"/>
            <w:vAlign w:val="center"/>
          </w:tcPr>
          <w:p w14:paraId="1A2CD0C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粗糙度仪</w:t>
            </w:r>
          </w:p>
        </w:tc>
        <w:tc>
          <w:tcPr>
            <w:tcW w:w="1515" w:type="dxa"/>
            <w:vAlign w:val="center"/>
          </w:tcPr>
          <w:p w14:paraId="374E54D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1A040A7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4EEC27E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135DB7B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bl>
    <w:p w14:paraId="48C21E94">
      <w:pPr>
        <w:spacing w:line="360" w:lineRule="auto"/>
        <w:ind w:firstLine="480" w:firstLineChars="200"/>
        <w:rPr>
          <w:rFonts w:ascii="宋体" w:hAnsi="宋体" w:eastAsia="宋体" w:cs="宋体"/>
          <w:bCs/>
          <w:sz w:val="24"/>
          <w:szCs w:val="24"/>
          <w:highlight w:val="none"/>
        </w:rPr>
      </w:pPr>
      <w:r>
        <w:rPr>
          <w:rFonts w:hint="eastAsia" w:ascii="宋体" w:hAnsi="宋体" w:eastAsia="宋体" w:cs="宋体"/>
          <w:bCs/>
          <w:sz w:val="24"/>
          <w:szCs w:val="24"/>
          <w:highlight w:val="none"/>
        </w:rPr>
        <w:t>备注：本表所列采购货物仅为货物的主要构成部分，应配套供货以及招标人所列其它货物（或设备）和服务，请投标人认真阅读“供货范围”。若有异议，不管是多么微小，都应在投标文件“商务偏离”章节中予以详细说明。</w:t>
      </w:r>
    </w:p>
    <w:p w14:paraId="0ABD7919">
      <w:pPr>
        <w:spacing w:line="360" w:lineRule="auto"/>
        <w:ind w:firstLine="420"/>
        <w:rPr>
          <w:rFonts w:ascii="宋体" w:hAnsi="宋体" w:eastAsia="宋体" w:cs="宋体"/>
          <w:bCs/>
          <w:sz w:val="24"/>
          <w:szCs w:val="24"/>
          <w:highlight w:val="none"/>
        </w:rPr>
      </w:pPr>
      <w:r>
        <w:rPr>
          <w:rFonts w:hint="eastAsia" w:ascii="宋体" w:hAnsi="宋体" w:eastAsia="宋体" w:cs="宋体"/>
          <w:bCs/>
          <w:sz w:val="24"/>
          <w:szCs w:val="24"/>
          <w:highlight w:val="none"/>
        </w:rPr>
        <w:t>本表“供货方式”指：交钥匙方式——包括制造、运输、定点卸货、安装、调试和协助验收以及约定培训等。</w:t>
      </w:r>
    </w:p>
    <w:p w14:paraId="4E8B9DD3">
      <w:pPr>
        <w:spacing w:line="360" w:lineRule="auto"/>
        <w:ind w:firstLine="420"/>
        <w:rPr>
          <w:rFonts w:hint="eastAsia" w:ascii="宋体" w:hAnsi="宋体" w:eastAsia="宋体" w:cs="宋体"/>
          <w:bCs/>
          <w:sz w:val="24"/>
          <w:szCs w:val="24"/>
          <w:highlight w:val="none"/>
          <w:lang w:val="en-US" w:eastAsia="zh-CN"/>
        </w:rPr>
      </w:pPr>
      <w:r>
        <w:rPr>
          <w:rFonts w:hint="eastAsia" w:ascii="宋体" w:hAnsi="宋体" w:eastAsia="宋体" w:cs="宋体"/>
          <w:bCs/>
          <w:sz w:val="24"/>
          <w:szCs w:val="24"/>
          <w:highlight w:val="none"/>
          <w:lang w:val="en-US" w:eastAsia="zh-CN"/>
        </w:rPr>
        <w:t>以上内容仅对设备的基本功能进行了描述和建议，表中所列内容仅供参考，投标方投标前需对生产现场工艺环境进行充分调研与了解，确保投标方案满足工艺、产品、节拍、功能等要求，投标方对投标方案负责。</w:t>
      </w:r>
    </w:p>
    <w:p w14:paraId="0F27475E">
      <w:pPr>
        <w:spacing w:line="360" w:lineRule="auto"/>
        <w:ind w:firstLine="482" w:firstLineChars="200"/>
        <w:rPr>
          <w:rFonts w:hint="eastAsia" w:ascii="宋体" w:hAnsi="宋体" w:eastAsia="宋体" w:cs="宋体"/>
          <w:b/>
          <w:bCs/>
          <w:color w:val="auto"/>
          <w:kern w:val="2"/>
          <w:sz w:val="24"/>
          <w:szCs w:val="28"/>
          <w:highlight w:val="none"/>
          <w:lang w:val="en-US" w:eastAsia="zh-CN" w:bidi="ar-SA"/>
        </w:rPr>
      </w:pPr>
      <w:r>
        <w:rPr>
          <w:rFonts w:hint="eastAsia" w:ascii="宋体" w:hAnsi="宋体" w:cs="宋体"/>
          <w:b/>
          <w:bCs/>
          <w:color w:val="auto"/>
          <w:kern w:val="2"/>
          <w:sz w:val="24"/>
          <w:szCs w:val="28"/>
          <w:highlight w:val="none"/>
          <w:lang w:val="en-US" w:eastAsia="zh-CN" w:bidi="ar-SA"/>
        </w:rPr>
        <w:t>5.2设备</w:t>
      </w:r>
      <w:r>
        <w:rPr>
          <w:rFonts w:hint="eastAsia" w:ascii="宋体" w:hAnsi="宋体" w:eastAsia="宋体" w:cs="宋体"/>
          <w:b/>
          <w:bCs/>
          <w:color w:val="auto"/>
          <w:kern w:val="2"/>
          <w:sz w:val="24"/>
          <w:szCs w:val="28"/>
          <w:highlight w:val="none"/>
          <w:lang w:val="en-US" w:eastAsia="zh-CN" w:bidi="ar-SA"/>
        </w:rPr>
        <w:t>技术参数要求</w:t>
      </w:r>
    </w:p>
    <w:p w14:paraId="32179E68">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5.2.1、品牌型号</w:t>
      </w:r>
    </w:p>
    <w:p w14:paraId="5AD9C047">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为满足检测标准，确保检测数据准确且使用便捷，参考品牌型号如下：</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665"/>
        <w:gridCol w:w="3338"/>
        <w:gridCol w:w="837"/>
        <w:gridCol w:w="888"/>
        <w:gridCol w:w="729"/>
      </w:tblGrid>
      <w:tr w14:paraId="03712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065" w:type="dxa"/>
            <w:vAlign w:val="center"/>
          </w:tcPr>
          <w:p w14:paraId="328B47D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序号</w:t>
            </w:r>
          </w:p>
        </w:tc>
        <w:tc>
          <w:tcPr>
            <w:tcW w:w="1665" w:type="dxa"/>
            <w:vAlign w:val="center"/>
          </w:tcPr>
          <w:p w14:paraId="20B31D8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设备名称</w:t>
            </w:r>
          </w:p>
        </w:tc>
        <w:tc>
          <w:tcPr>
            <w:tcW w:w="3338" w:type="dxa"/>
            <w:vAlign w:val="center"/>
          </w:tcPr>
          <w:p w14:paraId="77BD799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参考</w:t>
            </w:r>
            <w:r>
              <w:rPr>
                <w:rFonts w:hint="eastAsia" w:ascii="宋体" w:hAnsi="宋体" w:eastAsia="宋体" w:cs="宋体"/>
                <w:sz w:val="24"/>
                <w:szCs w:val="24"/>
                <w:highlight w:val="none"/>
                <w:vertAlign w:val="baseline"/>
                <w:lang w:val="en-US" w:eastAsia="zh-CN"/>
              </w:rPr>
              <w:t>品牌型号</w:t>
            </w:r>
          </w:p>
        </w:tc>
        <w:tc>
          <w:tcPr>
            <w:tcW w:w="837" w:type="dxa"/>
            <w:vAlign w:val="center"/>
          </w:tcPr>
          <w:p w14:paraId="790FF4B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单位</w:t>
            </w:r>
          </w:p>
        </w:tc>
        <w:tc>
          <w:tcPr>
            <w:tcW w:w="888" w:type="dxa"/>
            <w:vAlign w:val="center"/>
          </w:tcPr>
          <w:p w14:paraId="1FF676B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数量</w:t>
            </w:r>
          </w:p>
        </w:tc>
        <w:tc>
          <w:tcPr>
            <w:tcW w:w="729" w:type="dxa"/>
            <w:vAlign w:val="center"/>
          </w:tcPr>
          <w:p w14:paraId="3FBD84CA">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备注</w:t>
            </w:r>
          </w:p>
        </w:tc>
      </w:tr>
      <w:tr w14:paraId="7234E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1775BAB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1665" w:type="dxa"/>
            <w:vAlign w:val="center"/>
          </w:tcPr>
          <w:p w14:paraId="71F6711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划格器</w:t>
            </w:r>
          </w:p>
        </w:tc>
        <w:tc>
          <w:tcPr>
            <w:tcW w:w="3338" w:type="dxa"/>
            <w:vAlign w:val="center"/>
          </w:tcPr>
          <w:p w14:paraId="2DB681F4">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BYK 5124或同等品牌</w:t>
            </w:r>
          </w:p>
        </w:tc>
        <w:tc>
          <w:tcPr>
            <w:tcW w:w="837" w:type="dxa"/>
            <w:vAlign w:val="center"/>
          </w:tcPr>
          <w:p w14:paraId="6E5D6D1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4023CA3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729" w:type="dxa"/>
            <w:vAlign w:val="center"/>
          </w:tcPr>
          <w:p w14:paraId="13A99E8A">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r w14:paraId="67F55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52BA1E8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2</w:t>
            </w:r>
          </w:p>
        </w:tc>
        <w:tc>
          <w:tcPr>
            <w:tcW w:w="1665" w:type="dxa"/>
            <w:vAlign w:val="center"/>
          </w:tcPr>
          <w:p w14:paraId="3D40B40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漆膜测厚仪</w:t>
            </w:r>
          </w:p>
        </w:tc>
        <w:tc>
          <w:tcPr>
            <w:tcW w:w="3338" w:type="dxa"/>
            <w:vAlign w:val="center"/>
          </w:tcPr>
          <w:p w14:paraId="4A494CF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Qnix8500或同等品牌</w:t>
            </w:r>
          </w:p>
        </w:tc>
        <w:tc>
          <w:tcPr>
            <w:tcW w:w="837" w:type="dxa"/>
            <w:vAlign w:val="center"/>
          </w:tcPr>
          <w:p w14:paraId="752A927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1A4C9A9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1</w:t>
            </w:r>
          </w:p>
        </w:tc>
        <w:tc>
          <w:tcPr>
            <w:tcW w:w="729" w:type="dxa"/>
            <w:vAlign w:val="center"/>
          </w:tcPr>
          <w:p w14:paraId="4804183C">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r w14:paraId="4F2E6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286679C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3</w:t>
            </w:r>
          </w:p>
        </w:tc>
        <w:tc>
          <w:tcPr>
            <w:tcW w:w="1665" w:type="dxa"/>
            <w:vAlign w:val="center"/>
          </w:tcPr>
          <w:p w14:paraId="21A4312F">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铅笔硬度计</w:t>
            </w:r>
          </w:p>
        </w:tc>
        <w:tc>
          <w:tcPr>
            <w:tcW w:w="3338" w:type="dxa"/>
            <w:vAlign w:val="center"/>
          </w:tcPr>
          <w:p w14:paraId="62A5FF0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BYK PH-5800或同等品牌</w:t>
            </w:r>
          </w:p>
        </w:tc>
        <w:tc>
          <w:tcPr>
            <w:tcW w:w="837" w:type="dxa"/>
            <w:vAlign w:val="center"/>
          </w:tcPr>
          <w:p w14:paraId="0DC5F1B4">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7AC105A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729" w:type="dxa"/>
            <w:vAlign w:val="center"/>
          </w:tcPr>
          <w:p w14:paraId="3F55B42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r w14:paraId="58676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0CFCD48D">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4</w:t>
            </w:r>
          </w:p>
        </w:tc>
        <w:tc>
          <w:tcPr>
            <w:tcW w:w="1665" w:type="dxa"/>
            <w:vAlign w:val="center"/>
          </w:tcPr>
          <w:p w14:paraId="10610BF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刮板细度计</w:t>
            </w:r>
          </w:p>
        </w:tc>
        <w:tc>
          <w:tcPr>
            <w:tcW w:w="3338" w:type="dxa"/>
            <w:vAlign w:val="center"/>
          </w:tcPr>
          <w:p w14:paraId="22864ACD">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BYK 0~25um或同等品牌</w:t>
            </w:r>
          </w:p>
        </w:tc>
        <w:tc>
          <w:tcPr>
            <w:tcW w:w="837" w:type="dxa"/>
            <w:vAlign w:val="center"/>
          </w:tcPr>
          <w:p w14:paraId="2182B1B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76896F2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1</w:t>
            </w:r>
          </w:p>
        </w:tc>
        <w:tc>
          <w:tcPr>
            <w:tcW w:w="729" w:type="dxa"/>
            <w:vAlign w:val="center"/>
          </w:tcPr>
          <w:p w14:paraId="78FA4E6A">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r w14:paraId="5E0D6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6A2B5634">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5</w:t>
            </w:r>
          </w:p>
        </w:tc>
        <w:tc>
          <w:tcPr>
            <w:tcW w:w="1665" w:type="dxa"/>
            <w:vAlign w:val="center"/>
          </w:tcPr>
          <w:p w14:paraId="7D22D2BF">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粗糙度仪</w:t>
            </w:r>
          </w:p>
        </w:tc>
        <w:tc>
          <w:tcPr>
            <w:tcW w:w="3338" w:type="dxa"/>
            <w:vAlign w:val="center"/>
          </w:tcPr>
          <w:p w14:paraId="2833750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三丰</w:t>
            </w:r>
            <w:r>
              <w:rPr>
                <w:rFonts w:ascii="宋体" w:hAnsi="宋体" w:eastAsia="宋体" w:cs="宋体"/>
                <w:sz w:val="24"/>
                <w:szCs w:val="24"/>
                <w:highlight w:val="none"/>
              </w:rPr>
              <w:t>SJ220</w:t>
            </w:r>
            <w:r>
              <w:rPr>
                <w:rFonts w:hint="eastAsia" w:ascii="宋体" w:hAnsi="宋体" w:eastAsia="宋体" w:cs="宋体"/>
                <w:sz w:val="24"/>
                <w:szCs w:val="24"/>
                <w:highlight w:val="none"/>
                <w:vertAlign w:val="baseline"/>
                <w:lang w:val="en-US" w:eastAsia="zh-CN"/>
              </w:rPr>
              <w:t>或同等品牌</w:t>
            </w:r>
          </w:p>
        </w:tc>
        <w:tc>
          <w:tcPr>
            <w:tcW w:w="837" w:type="dxa"/>
            <w:vAlign w:val="center"/>
          </w:tcPr>
          <w:p w14:paraId="3DFFA79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7703151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729" w:type="dxa"/>
            <w:vAlign w:val="center"/>
          </w:tcPr>
          <w:p w14:paraId="0B39E56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bl>
    <w:p w14:paraId="705724C8">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5.2.2、主要技术参数</w:t>
      </w:r>
    </w:p>
    <w:tbl>
      <w:tblPr>
        <w:tblStyle w:val="32"/>
        <w:tblW w:w="90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9"/>
        <w:gridCol w:w="1529"/>
        <w:gridCol w:w="6788"/>
      </w:tblGrid>
      <w:tr w14:paraId="0E85D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9" w:type="dxa"/>
            <w:vAlign w:val="center"/>
          </w:tcPr>
          <w:p w14:paraId="5F77FE9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序号</w:t>
            </w:r>
          </w:p>
        </w:tc>
        <w:tc>
          <w:tcPr>
            <w:tcW w:w="1529" w:type="dxa"/>
            <w:vAlign w:val="center"/>
          </w:tcPr>
          <w:p w14:paraId="06EC173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val="en-US" w:eastAsia="zh-CN"/>
              </w:rPr>
              <w:t>设备</w:t>
            </w:r>
          </w:p>
        </w:tc>
        <w:tc>
          <w:tcPr>
            <w:tcW w:w="6788" w:type="dxa"/>
            <w:vAlign w:val="center"/>
          </w:tcPr>
          <w:p w14:paraId="5EFCCBA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技术参数要求</w:t>
            </w:r>
          </w:p>
        </w:tc>
      </w:tr>
      <w:tr w14:paraId="37B5E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759" w:type="dxa"/>
            <w:vAlign w:val="center"/>
          </w:tcPr>
          <w:p w14:paraId="6A90BC1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1529" w:type="dxa"/>
            <w:shd w:val="clear" w:color="auto" w:fill="auto"/>
            <w:vAlign w:val="center"/>
          </w:tcPr>
          <w:p w14:paraId="30D023C1">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划格器</w:t>
            </w:r>
          </w:p>
        </w:tc>
        <w:tc>
          <w:tcPr>
            <w:tcW w:w="6788" w:type="dxa"/>
            <w:shd w:val="clear" w:color="auto" w:fill="auto"/>
            <w:vAlign w:val="center"/>
          </w:tcPr>
          <w:p w14:paraId="32780577">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cs="宋体"/>
                <w:color w:val="000000"/>
                <w:kern w:val="2"/>
                <w:sz w:val="24"/>
                <w:szCs w:val="24"/>
                <w:highlight w:val="none"/>
                <w:lang w:val="en-US" w:eastAsia="zh-CN" w:bidi="ar-SA"/>
              </w:rPr>
            </w:pPr>
            <w:r>
              <w:rPr>
                <w:rFonts w:hint="eastAsia" w:ascii="宋体" w:hAnsi="宋体" w:cs="宋体"/>
                <w:color w:val="000000"/>
                <w:kern w:val="2"/>
                <w:sz w:val="24"/>
                <w:szCs w:val="24"/>
                <w:highlight w:val="none"/>
                <w:lang w:val="en-US" w:eastAsia="zh-CN" w:bidi="ar-SA"/>
              </w:rPr>
              <w:t>1、刀头材质：</w:t>
            </w:r>
            <w:r>
              <w:rPr>
                <w:rFonts w:ascii="宋体" w:hAnsi="宋体" w:eastAsia="宋体" w:cs="宋体"/>
                <w:sz w:val="24"/>
                <w:szCs w:val="24"/>
                <w:highlight w:val="none"/>
              </w:rPr>
              <w:t>高硬度合金钢一体成型，刀刃锋利耐磨，长期使用不易崩齿、卷刃</w:t>
            </w:r>
          </w:p>
          <w:p w14:paraId="4427D9B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cs="宋体"/>
                <w:color w:val="000000"/>
                <w:kern w:val="2"/>
                <w:sz w:val="24"/>
                <w:szCs w:val="24"/>
                <w:highlight w:val="none"/>
                <w:lang w:val="en-US" w:eastAsia="zh-CN" w:bidi="ar-SA"/>
              </w:rPr>
            </w:pPr>
            <w:r>
              <w:rPr>
                <w:rFonts w:hint="eastAsia" w:ascii="宋体" w:hAnsi="宋体" w:cs="宋体"/>
                <w:color w:val="000000"/>
                <w:kern w:val="2"/>
                <w:sz w:val="24"/>
                <w:szCs w:val="24"/>
                <w:highlight w:val="none"/>
                <w:lang w:val="en-US" w:eastAsia="zh-CN" w:bidi="ar-SA"/>
              </w:rPr>
              <w:t>2、齿距：2mm</w:t>
            </w:r>
          </w:p>
          <w:p w14:paraId="3F68495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cs="宋体"/>
                <w:color w:val="000000"/>
                <w:kern w:val="2"/>
                <w:sz w:val="24"/>
                <w:szCs w:val="24"/>
                <w:highlight w:val="none"/>
                <w:lang w:val="en-US" w:eastAsia="zh-CN" w:bidi="ar-SA"/>
              </w:rPr>
            </w:pPr>
            <w:r>
              <w:rPr>
                <w:rFonts w:hint="eastAsia" w:ascii="宋体" w:hAnsi="宋体" w:cs="宋体"/>
                <w:color w:val="000000"/>
                <w:kern w:val="2"/>
                <w:sz w:val="24"/>
                <w:szCs w:val="24"/>
                <w:highlight w:val="none"/>
                <w:lang w:val="en-US" w:eastAsia="zh-CN" w:bidi="ar-SA"/>
              </w:rPr>
              <w:t>3、齿数：6齿</w:t>
            </w:r>
          </w:p>
          <w:p w14:paraId="5E8BFA94">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default" w:ascii="宋体" w:hAnsi="宋体" w:cs="宋体"/>
                <w:color w:val="000000"/>
                <w:kern w:val="2"/>
                <w:sz w:val="24"/>
                <w:szCs w:val="24"/>
                <w:highlight w:val="none"/>
                <w:lang w:val="en-US" w:eastAsia="zh-CN" w:bidi="ar-SA"/>
              </w:rPr>
            </w:pPr>
            <w:r>
              <w:rPr>
                <w:rFonts w:hint="eastAsia" w:ascii="宋体" w:hAnsi="宋体" w:cs="宋体"/>
                <w:color w:val="000000"/>
                <w:kern w:val="2"/>
                <w:sz w:val="24"/>
                <w:szCs w:val="24"/>
                <w:highlight w:val="none"/>
                <w:lang w:val="en-US" w:eastAsia="zh-CN" w:bidi="ar-SA"/>
              </w:rPr>
              <w:t>4、备用刀头：≥1片</w:t>
            </w:r>
          </w:p>
          <w:p w14:paraId="3C7BA9F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default" w:ascii="宋体" w:hAnsi="宋体" w:cs="宋体"/>
                <w:color w:val="000000"/>
                <w:kern w:val="2"/>
                <w:sz w:val="24"/>
                <w:szCs w:val="24"/>
                <w:highlight w:val="none"/>
                <w:lang w:val="en-US" w:eastAsia="zh-CN" w:bidi="ar-SA"/>
              </w:rPr>
            </w:pPr>
            <w:r>
              <w:rPr>
                <w:rFonts w:hint="eastAsia" w:ascii="宋体" w:hAnsi="宋体" w:cs="宋体"/>
                <w:color w:val="000000"/>
                <w:kern w:val="2"/>
                <w:sz w:val="24"/>
                <w:szCs w:val="24"/>
                <w:highlight w:val="none"/>
                <w:lang w:val="en-US" w:eastAsia="zh-CN" w:bidi="ar-SA"/>
              </w:rPr>
              <w:t>4、工具包：放大镜、拆卸工具、胶带、便携箱等</w:t>
            </w:r>
          </w:p>
        </w:tc>
      </w:tr>
      <w:tr w14:paraId="07BD0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jc w:val="center"/>
        </w:trPr>
        <w:tc>
          <w:tcPr>
            <w:tcW w:w="759" w:type="dxa"/>
            <w:shd w:val="clear" w:color="auto" w:fill="auto"/>
            <w:vAlign w:val="center"/>
          </w:tcPr>
          <w:p w14:paraId="54EA2BE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2</w:t>
            </w:r>
          </w:p>
        </w:tc>
        <w:tc>
          <w:tcPr>
            <w:tcW w:w="1529" w:type="dxa"/>
            <w:shd w:val="clear" w:color="auto" w:fill="auto"/>
            <w:vAlign w:val="center"/>
          </w:tcPr>
          <w:p w14:paraId="30860395">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漆膜测厚仪</w:t>
            </w:r>
          </w:p>
        </w:tc>
        <w:tc>
          <w:tcPr>
            <w:tcW w:w="6788" w:type="dxa"/>
            <w:shd w:val="clear" w:color="auto" w:fill="auto"/>
            <w:vAlign w:val="center"/>
          </w:tcPr>
          <w:p w14:paraId="4E87FFA4">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w:t>
            </w:r>
            <w:r>
              <w:rPr>
                <w:rFonts w:hint="eastAsia" w:ascii="宋体" w:hAnsi="宋体" w:eastAsia="宋体" w:cs="宋体"/>
                <w:color w:val="000000"/>
                <w:sz w:val="24"/>
                <w:szCs w:val="24"/>
                <w:highlight w:val="none"/>
                <w:lang w:val="en-US" w:eastAsia="zh-CN"/>
              </w:rPr>
              <w:t>、</w:t>
            </w:r>
            <w:r>
              <w:rPr>
                <w:rFonts w:hint="eastAsia" w:ascii="宋体" w:hAnsi="宋体" w:cs="宋体"/>
                <w:color w:val="000000"/>
                <w:sz w:val="24"/>
                <w:szCs w:val="24"/>
                <w:highlight w:val="none"/>
                <w:lang w:val="en-US" w:eastAsia="zh-CN"/>
              </w:rPr>
              <w:t>探头：Fe-探头 在铁或钢基材上测量</w:t>
            </w:r>
          </w:p>
          <w:p w14:paraId="75487B9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firstLine="1200" w:firstLineChars="500"/>
              <w:jc w:val="left"/>
              <w:textAlignment w:val="auto"/>
              <w:rPr>
                <w:rFonts w:hint="default"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NFe-探头 在非磁性基材上测量，如铝，铜等</w:t>
            </w:r>
          </w:p>
          <w:p w14:paraId="5E3AEF02">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精度：Fe：±（1μm+2%读数),0到2mm时；± 3%，＞2mm 时；NFe：±（2μm+2%读数),0到2mm时；± 3%，＞2mm 时</w:t>
            </w:r>
          </w:p>
          <w:p w14:paraId="737920C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、测量速度：≥120次/每分钟</w:t>
            </w:r>
          </w:p>
          <w:p w14:paraId="6476964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1440" w:hanging="1440" w:hangingChars="60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、分辨力：0.1μm（0到99.9μm），1μm（100到999μm），0.1mm（≥1mm）</w:t>
            </w:r>
          </w:p>
          <w:p w14:paraId="48F5031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5</w:t>
            </w:r>
            <w:r>
              <w:rPr>
                <w:rFonts w:hint="eastAsia" w:ascii="宋体" w:hAnsi="宋体" w:eastAsia="宋体" w:cs="宋体"/>
                <w:color w:val="000000"/>
                <w:sz w:val="24"/>
                <w:szCs w:val="24"/>
                <w:highlight w:val="none"/>
                <w:lang w:val="en-US" w:eastAsia="zh-CN"/>
              </w:rPr>
              <w:t>、最小测量面积：半径≤10mm</w:t>
            </w:r>
          </w:p>
          <w:p w14:paraId="50FC205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6</w:t>
            </w:r>
            <w:r>
              <w:rPr>
                <w:rFonts w:hint="eastAsia" w:ascii="宋体" w:hAnsi="宋体" w:eastAsia="宋体" w:cs="宋体"/>
                <w:color w:val="000000"/>
                <w:sz w:val="24"/>
                <w:szCs w:val="24"/>
                <w:highlight w:val="none"/>
                <w:lang w:val="en-US" w:eastAsia="zh-CN"/>
              </w:rPr>
              <w:t>、最小曲率：曲率半径≤20mm</w:t>
            </w:r>
          </w:p>
          <w:p w14:paraId="10CD08C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、最小基材厚度：Fe≥0.2mm，NFe≥0.05mm</w:t>
            </w:r>
          </w:p>
          <w:p w14:paraId="1162327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8</w:t>
            </w:r>
            <w:r>
              <w:rPr>
                <w:rFonts w:hint="eastAsia" w:ascii="宋体" w:hAnsi="宋体" w:eastAsia="宋体" w:cs="宋体"/>
                <w:color w:val="000000"/>
                <w:sz w:val="24"/>
                <w:szCs w:val="24"/>
                <w:highlight w:val="none"/>
                <w:lang w:val="en-US" w:eastAsia="zh-CN"/>
              </w:rPr>
              <w:t>、电源：碱性干电池/充电电池</w:t>
            </w:r>
          </w:p>
          <w:p w14:paraId="1608557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9</w:t>
            </w:r>
            <w:r>
              <w:rPr>
                <w:rFonts w:hint="eastAsia" w:ascii="宋体" w:hAnsi="宋体" w:eastAsia="宋体" w:cs="宋体"/>
                <w:color w:val="000000"/>
                <w:sz w:val="24"/>
                <w:szCs w:val="24"/>
                <w:highlight w:val="none"/>
                <w:lang w:val="en-US" w:eastAsia="zh-CN"/>
              </w:rPr>
              <w:t>、电池寿命，1次/秒测量：不少于60000次</w:t>
            </w:r>
          </w:p>
          <w:p w14:paraId="41CB0834">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kern w:val="2"/>
                <w:sz w:val="24"/>
                <w:szCs w:val="24"/>
                <w:highlight w:val="none"/>
                <w:lang w:val="en-US" w:eastAsia="zh-CN" w:bidi="ar-SA"/>
              </w:rPr>
            </w:pPr>
            <w:r>
              <w:rPr>
                <w:rFonts w:hint="eastAsia" w:ascii="宋体" w:hAnsi="宋体" w:cs="宋体"/>
                <w:color w:val="000000"/>
                <w:sz w:val="24"/>
                <w:szCs w:val="24"/>
                <w:highlight w:val="none"/>
                <w:lang w:val="en-US" w:eastAsia="zh-CN"/>
              </w:rPr>
              <w:t>10</w:t>
            </w:r>
            <w:r>
              <w:rPr>
                <w:rFonts w:hint="eastAsia" w:ascii="宋体" w:hAnsi="宋体" w:eastAsia="宋体" w:cs="宋体"/>
                <w:color w:val="000000"/>
                <w:sz w:val="24"/>
                <w:szCs w:val="24"/>
                <w:highlight w:val="none"/>
                <w:lang w:val="en-US" w:eastAsia="zh-CN"/>
              </w:rPr>
              <w:t>、操作温度：</w:t>
            </w:r>
            <w:r>
              <w:rPr>
                <w:rFonts w:hint="eastAsia" w:ascii="宋体" w:hAnsi="宋体" w:cs="宋体"/>
                <w:color w:val="000000"/>
                <w:sz w:val="24"/>
                <w:szCs w:val="24"/>
                <w:highlight w:val="none"/>
                <w:lang w:val="en-US" w:eastAsia="zh-CN"/>
              </w:rPr>
              <w:t>-20℃到60℃</w:t>
            </w:r>
          </w:p>
        </w:tc>
      </w:tr>
      <w:tr w14:paraId="50391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9" w:hRule="atLeast"/>
          <w:jc w:val="center"/>
        </w:trPr>
        <w:tc>
          <w:tcPr>
            <w:tcW w:w="759" w:type="dxa"/>
            <w:shd w:val="clear" w:color="auto" w:fill="auto"/>
            <w:vAlign w:val="center"/>
          </w:tcPr>
          <w:p w14:paraId="799C1C7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3</w:t>
            </w:r>
          </w:p>
        </w:tc>
        <w:tc>
          <w:tcPr>
            <w:tcW w:w="1529" w:type="dxa"/>
            <w:shd w:val="clear" w:color="auto" w:fill="auto"/>
            <w:vAlign w:val="center"/>
          </w:tcPr>
          <w:p w14:paraId="4104D1FA">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铅笔硬度计</w:t>
            </w:r>
          </w:p>
        </w:tc>
        <w:tc>
          <w:tcPr>
            <w:tcW w:w="6788" w:type="dxa"/>
            <w:shd w:val="clear" w:color="auto" w:fill="auto"/>
            <w:vAlign w:val="center"/>
          </w:tcPr>
          <w:p w14:paraId="149252BC">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测试夹角：45°±1°，机身内置水平气泡；</w:t>
            </w:r>
          </w:p>
          <w:p w14:paraId="1E244248">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试验载荷：750g</w:t>
            </w:r>
          </w:p>
          <w:p w14:paraId="1C4C63C4">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配套铅笔：6B~6H 全硬度等级铅笔；</w:t>
            </w:r>
          </w:p>
          <w:p w14:paraId="32DDC314">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材质：</w:t>
            </w:r>
            <w:r>
              <w:rPr>
                <w:rFonts w:ascii="宋体" w:hAnsi="宋体" w:eastAsia="宋体" w:cs="宋体"/>
                <w:sz w:val="24"/>
                <w:szCs w:val="24"/>
                <w:highlight w:val="none"/>
              </w:rPr>
              <w:t>一体式金属机身，精密滚轮无卡顿，快速锁紧铅笔夹具，拆装便捷</w:t>
            </w:r>
          </w:p>
          <w:p w14:paraId="504E16F0">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ascii="宋体" w:hAnsi="宋体" w:eastAsia="宋体" w:cs="宋体"/>
                <w:sz w:val="24"/>
                <w:szCs w:val="24"/>
                <w:highlight w:val="none"/>
              </w:rPr>
              <w:t>测试方式：手动匀速推行</w:t>
            </w:r>
          </w:p>
          <w:p w14:paraId="133A75C3">
            <w:pPr>
              <w:keepNext w:val="0"/>
              <w:keepLines w:val="0"/>
              <w:pageBreakBefore w:val="0"/>
              <w:widowControl w:val="0"/>
              <w:numPr>
                <w:ilvl w:val="0"/>
                <w:numId w:val="13"/>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工具包</w:t>
            </w:r>
            <w:r>
              <w:rPr>
                <w:rFonts w:hint="eastAsia" w:ascii="宋体" w:hAnsi="宋体" w:eastAsia="宋体" w:cs="宋体"/>
                <w:color w:val="000000"/>
                <w:sz w:val="24"/>
                <w:szCs w:val="24"/>
                <w:highlight w:val="none"/>
                <w:lang w:val="en-US" w:eastAsia="zh-CN"/>
              </w:rPr>
              <w:t>：专用削笔器、400# 砂纸、</w:t>
            </w:r>
            <w:r>
              <w:rPr>
                <w:rFonts w:hint="eastAsia" w:ascii="宋体" w:hAnsi="宋体" w:cs="宋体"/>
                <w:color w:val="000000"/>
                <w:sz w:val="24"/>
                <w:szCs w:val="24"/>
                <w:highlight w:val="none"/>
                <w:lang w:val="en-US" w:eastAsia="zh-CN"/>
              </w:rPr>
              <w:t>便携</w:t>
            </w:r>
            <w:r>
              <w:rPr>
                <w:rFonts w:hint="eastAsia" w:ascii="宋体" w:hAnsi="宋体" w:eastAsia="宋体" w:cs="宋体"/>
                <w:color w:val="000000"/>
                <w:sz w:val="24"/>
                <w:szCs w:val="24"/>
                <w:highlight w:val="none"/>
                <w:lang w:val="en-US" w:eastAsia="zh-CN"/>
              </w:rPr>
              <w:t>箱</w:t>
            </w:r>
            <w:r>
              <w:rPr>
                <w:rFonts w:hint="eastAsia" w:ascii="宋体" w:hAnsi="宋体" w:cs="宋体"/>
                <w:color w:val="000000"/>
                <w:sz w:val="24"/>
                <w:szCs w:val="24"/>
                <w:highlight w:val="none"/>
                <w:lang w:val="en-US" w:eastAsia="zh-CN"/>
              </w:rPr>
              <w:t>等</w:t>
            </w:r>
          </w:p>
        </w:tc>
      </w:tr>
      <w:tr w14:paraId="34130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jc w:val="center"/>
        </w:trPr>
        <w:tc>
          <w:tcPr>
            <w:tcW w:w="759" w:type="dxa"/>
            <w:shd w:val="clear" w:color="auto" w:fill="auto"/>
            <w:vAlign w:val="center"/>
          </w:tcPr>
          <w:p w14:paraId="29439F7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4</w:t>
            </w:r>
          </w:p>
        </w:tc>
        <w:tc>
          <w:tcPr>
            <w:tcW w:w="1529" w:type="dxa"/>
            <w:shd w:val="clear" w:color="auto" w:fill="auto"/>
            <w:vAlign w:val="center"/>
          </w:tcPr>
          <w:p w14:paraId="73C78F68">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刮板细度计</w:t>
            </w:r>
          </w:p>
        </w:tc>
        <w:tc>
          <w:tcPr>
            <w:tcW w:w="6788" w:type="dxa"/>
            <w:shd w:val="clear" w:color="auto" w:fill="auto"/>
            <w:vAlign w:val="center"/>
          </w:tcPr>
          <w:p w14:paraId="7E05742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default"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1、沟槽类型：单槽或双槽</w:t>
            </w:r>
          </w:p>
          <w:p w14:paraId="0B93CCB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2、测量范围：0~25μm</w:t>
            </w:r>
          </w:p>
          <w:p w14:paraId="7076DAF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default"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材质：</w:t>
            </w:r>
            <w:r>
              <w:rPr>
                <w:rFonts w:hint="eastAsia" w:ascii="宋体" w:hAnsi="宋体" w:cs="宋体"/>
                <w:color w:val="000000"/>
                <w:sz w:val="24"/>
                <w:szCs w:val="24"/>
                <w:highlight w:val="none"/>
                <w:lang w:val="en-US" w:eastAsia="zh-CN"/>
              </w:rPr>
              <w:t>不锈钢等耐腐蚀金属</w:t>
            </w:r>
          </w:p>
        </w:tc>
      </w:tr>
      <w:tr w14:paraId="1CD9E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jc w:val="center"/>
        </w:trPr>
        <w:tc>
          <w:tcPr>
            <w:tcW w:w="759" w:type="dxa"/>
            <w:shd w:val="clear" w:color="auto" w:fill="auto"/>
            <w:vAlign w:val="center"/>
          </w:tcPr>
          <w:p w14:paraId="12EDDA2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5</w:t>
            </w:r>
          </w:p>
        </w:tc>
        <w:tc>
          <w:tcPr>
            <w:tcW w:w="1529" w:type="dxa"/>
            <w:shd w:val="clear" w:color="auto" w:fill="auto"/>
            <w:vAlign w:val="center"/>
          </w:tcPr>
          <w:p w14:paraId="2527A388">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粗糙度仪</w:t>
            </w:r>
          </w:p>
        </w:tc>
        <w:tc>
          <w:tcPr>
            <w:tcW w:w="6788" w:type="dxa"/>
            <w:shd w:val="clear" w:color="auto" w:fill="auto"/>
            <w:vAlign w:val="center"/>
          </w:tcPr>
          <w:p w14:paraId="33B292F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1、测量范围：Ra  0～20μm</w:t>
            </w:r>
          </w:p>
          <w:p w14:paraId="0E3E043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2、分辨率：0.01μm</w:t>
            </w:r>
          </w:p>
          <w:p w14:paraId="77A6F72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3、示值误差：≤ 5%</w:t>
            </w:r>
          </w:p>
          <w:p w14:paraId="6184DAD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4、示值变动性：≤ 5%</w:t>
            </w:r>
          </w:p>
          <w:p w14:paraId="64BBF00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5、导头、探针：硬质合金（备件数量≥1）</w:t>
            </w:r>
          </w:p>
          <w:p w14:paraId="7442D6D2">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6、取样长度：默认 0.8mm</w:t>
            </w:r>
          </w:p>
          <w:p w14:paraId="692072E7">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Ra &lt; 0.02 μm          0.08mm</w:t>
            </w:r>
          </w:p>
          <w:p w14:paraId="5BE2447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 xml:space="preserve">Ra 0.02 ~ 0.1 μm      0.25mm </w:t>
            </w:r>
          </w:p>
          <w:p w14:paraId="1C1BF68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Ra 0.1 ~ 2.0 μm       0.8mm</w:t>
            </w:r>
          </w:p>
          <w:p w14:paraId="593426B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Ra 2.0 ~ 10 μm        2.5mm</w:t>
            </w:r>
          </w:p>
          <w:p w14:paraId="54ADF89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Ra &gt; 10 μm            8.0mm</w:t>
            </w:r>
          </w:p>
          <w:p w14:paraId="12355ED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7、适用温度：-20℃到60℃</w:t>
            </w:r>
          </w:p>
          <w:p w14:paraId="0C0459DC">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8、具备一键校准功能</w:t>
            </w:r>
          </w:p>
          <w:p w14:paraId="63B3F6FE">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9、电源：内置锂离子充电电池（连续工作＞20h）/碱性干电池</w:t>
            </w:r>
          </w:p>
          <w:p w14:paraId="7A02477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10、具备轮廓波形图显示功能</w:t>
            </w:r>
          </w:p>
        </w:tc>
      </w:tr>
    </w:tbl>
    <w:p w14:paraId="4931896C">
      <w:pPr>
        <w:numPr>
          <w:ilvl w:val="0"/>
          <w:numId w:val="0"/>
        </w:numPr>
        <w:spacing w:line="360" w:lineRule="auto"/>
        <w:ind w:firstLine="723" w:firstLineChars="300"/>
        <w:rPr>
          <w:rFonts w:hint="default" w:ascii="宋体" w:hAnsi="宋体" w:cs="宋体"/>
          <w:bCs/>
          <w:color w:val="auto"/>
          <w:sz w:val="24"/>
          <w:szCs w:val="24"/>
          <w:highlight w:val="none"/>
          <w:lang w:val="en-US" w:eastAsia="zh-CN"/>
        </w:rPr>
      </w:pPr>
      <w:r>
        <w:rPr>
          <w:rFonts w:hint="eastAsia" w:ascii="宋体" w:hAnsi="宋体" w:cs="宋体"/>
          <w:b/>
          <w:bCs w:val="0"/>
          <w:color w:val="auto"/>
          <w:sz w:val="24"/>
          <w:szCs w:val="24"/>
          <w:highlight w:val="none"/>
          <w:lang w:val="en-US" w:eastAsia="zh-CN"/>
        </w:rPr>
        <w:t>注：以上设备配套说明书需同时提供中文版。</w:t>
      </w:r>
    </w:p>
    <w:p w14:paraId="320E3C94">
      <w:pPr>
        <w:widowControl w:val="0"/>
        <w:tabs>
          <w:tab w:val="left" w:pos="1164"/>
          <w:tab w:val="left" w:pos="1165"/>
        </w:tabs>
        <w:spacing w:line="360" w:lineRule="auto"/>
        <w:ind w:firstLine="470"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b/>
          <w:bCs/>
          <w:spacing w:val="-3"/>
          <w:kern w:val="2"/>
          <w:sz w:val="24"/>
          <w:szCs w:val="24"/>
          <w:lang w:val="en-US" w:eastAsia="zh-CN" w:bidi="ar-SA"/>
        </w:rPr>
        <w:t>5.</w:t>
      </w:r>
      <w:r>
        <w:rPr>
          <w:rFonts w:hint="eastAsia" w:ascii="宋体" w:hAnsi="宋体" w:cs="宋体"/>
          <w:b/>
          <w:bCs/>
          <w:spacing w:val="-3"/>
          <w:kern w:val="2"/>
          <w:sz w:val="24"/>
          <w:szCs w:val="24"/>
          <w:lang w:val="en-US" w:eastAsia="zh-CN" w:bidi="ar-SA"/>
        </w:rPr>
        <w:t>3</w:t>
      </w:r>
      <w:r>
        <w:rPr>
          <w:rFonts w:hint="eastAsia" w:ascii="宋体" w:hAnsi="宋体" w:eastAsia="宋体" w:cs="宋体"/>
          <w:b/>
          <w:bCs/>
          <w:spacing w:val="-3"/>
          <w:kern w:val="2"/>
          <w:sz w:val="24"/>
          <w:szCs w:val="24"/>
          <w:lang w:val="en-US" w:eastAsia="zh-CN" w:bidi="ar-SA"/>
        </w:rPr>
        <w:t>投标方职责</w:t>
      </w:r>
    </w:p>
    <w:p w14:paraId="68694B1A">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1）负责本协议书所列设备与设施的设计、制造、安装调试工作，并对所提供设备的合理性及可用性负责（合理性是指设备与设施的设计能够科学而充分的考虑各方面的因素，提高其质量与生产效率；可用性是指投标方设计或制造的产品能够在生产中很好的运用，满足使用要求）。并负责设备及产品零部件至招标方工厂的运输及费用。</w:t>
      </w:r>
    </w:p>
    <w:p w14:paraId="5E753AAE">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2</w:t>
      </w:r>
      <w:r>
        <w:rPr>
          <w:rFonts w:hint="eastAsia" w:ascii="宋体" w:hAnsi="宋体" w:eastAsia="宋体" w:cs="宋体"/>
          <w:spacing w:val="-3"/>
          <w:kern w:val="2"/>
          <w:sz w:val="24"/>
          <w:szCs w:val="24"/>
          <w:lang w:val="en-US" w:eastAsia="zh-CN" w:bidi="ar-SA"/>
        </w:rPr>
        <w:t>）对交付的货物及技术资料的完整性、准确性负责。所有的技术资料采用中文文本,都应有图纸资料及光盘两种格式。纸质资料和光盘各两套</w:t>
      </w:r>
      <w:r>
        <w:rPr>
          <w:rFonts w:hint="eastAsia" w:ascii="宋体" w:hAnsi="宋体" w:cs="宋体"/>
          <w:spacing w:val="-3"/>
          <w:kern w:val="2"/>
          <w:sz w:val="24"/>
          <w:szCs w:val="24"/>
          <w:lang w:val="en-US" w:eastAsia="zh-CN" w:bidi="ar-SA"/>
        </w:rPr>
        <w:t>。</w:t>
      </w:r>
    </w:p>
    <w:p w14:paraId="10BFF2FB">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）对招标方提供的技术资料（产品图、数模、标准、工艺等）负有保密义务。</w:t>
      </w:r>
    </w:p>
    <w:p w14:paraId="2650DF40">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4</w:t>
      </w:r>
      <w:r>
        <w:rPr>
          <w:rFonts w:hint="eastAsia" w:ascii="宋体" w:hAnsi="宋体" w:eastAsia="宋体" w:cs="宋体"/>
          <w:spacing w:val="-3"/>
          <w:kern w:val="2"/>
          <w:sz w:val="24"/>
          <w:szCs w:val="24"/>
          <w:lang w:val="en-US" w:eastAsia="zh-CN" w:bidi="ar-SA"/>
        </w:rPr>
        <w:t>）为预验收制定验收标准和进度计划，并于一周前通知招标方，由招标方确认后再实施。</w:t>
      </w:r>
    </w:p>
    <w:p w14:paraId="041BBDEB">
      <w:pPr>
        <w:spacing w:line="360" w:lineRule="auto"/>
        <w:ind w:firstLine="482" w:firstLineChars="200"/>
        <w:rPr>
          <w:rFonts w:hint="eastAsia" w:ascii="宋体" w:hAnsi="宋体" w:eastAsia="宋体" w:cs="宋体"/>
          <w:b/>
          <w:bCs w:val="0"/>
          <w:sz w:val="24"/>
          <w:szCs w:val="24"/>
          <w:lang w:val="en-US" w:eastAsia="zh-CN"/>
        </w:rPr>
      </w:pPr>
      <w:r>
        <w:rPr>
          <w:rFonts w:hint="eastAsia" w:ascii="宋体" w:hAnsi="宋体" w:eastAsia="宋体" w:cs="宋体"/>
          <w:b/>
          <w:bCs w:val="0"/>
          <w:sz w:val="24"/>
          <w:szCs w:val="24"/>
          <w:lang w:val="en-US" w:eastAsia="zh-CN"/>
        </w:rPr>
        <w:t>5.</w:t>
      </w:r>
      <w:r>
        <w:rPr>
          <w:rFonts w:hint="eastAsia" w:ascii="宋体" w:hAnsi="宋体" w:cs="宋体"/>
          <w:b/>
          <w:bCs w:val="0"/>
          <w:sz w:val="24"/>
          <w:szCs w:val="24"/>
          <w:lang w:val="en-US" w:eastAsia="zh-CN"/>
        </w:rPr>
        <w:t>4</w:t>
      </w:r>
      <w:r>
        <w:rPr>
          <w:rFonts w:hint="eastAsia" w:ascii="宋体" w:hAnsi="宋体" w:eastAsia="宋体" w:cs="宋体"/>
          <w:b/>
          <w:bCs w:val="0"/>
          <w:sz w:val="24"/>
          <w:szCs w:val="24"/>
          <w:lang w:val="en-US" w:eastAsia="zh-CN"/>
        </w:rPr>
        <w:t>执行标准</w:t>
      </w:r>
    </w:p>
    <w:p w14:paraId="6EEDA353">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1</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招标人此处所列标准仅为涉及的主要标准，而且不保证其为最新版执行标准；投标人应当在投标文件中认真予以填写、补充和修改完善。</w:t>
      </w:r>
    </w:p>
    <w:p w14:paraId="64ED814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（2）</w:t>
      </w:r>
      <w:r>
        <w:rPr>
          <w:rFonts w:hint="eastAsia" w:ascii="宋体" w:hAnsi="宋体" w:eastAsia="宋体" w:cs="宋体"/>
          <w:bCs/>
          <w:sz w:val="24"/>
          <w:szCs w:val="24"/>
          <w:lang w:val="en-US" w:eastAsia="zh-CN"/>
        </w:rPr>
        <w:t>投标人需要执行的标准，应当采用所供货物通过买方组织的最终验收之日已经开始执行的最新标准。</w:t>
      </w:r>
    </w:p>
    <w:p w14:paraId="0C59AE4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3</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采购货物的产品质量、技术标准如在招投标文件中无相应说明，则按中华人民共和国有关部门颁发的最新的国标或专业（部）标准执行及相应的国际标准。</w:t>
      </w:r>
    </w:p>
    <w:p w14:paraId="6C6BC5FA">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4</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采购货物没有国家或专业（部）标准的，按企业标准执行时，卖方应在合同签署之前，将所涉及的企业标准提供给买方确认。</w:t>
      </w:r>
    </w:p>
    <w:p w14:paraId="616ABE01">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5</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采购货物如果采用国际标准，其执行标准由投标人提供、招标人确认。</w:t>
      </w:r>
    </w:p>
    <w:p w14:paraId="38C1BD2E">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6</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采购货物所涉及的标准不统一时，原则上按照最严格标准执行。</w:t>
      </w:r>
    </w:p>
    <w:p w14:paraId="3AACCE5A">
      <w:pPr>
        <w:spacing w:line="360" w:lineRule="auto"/>
        <w:ind w:firstLine="482" w:firstLineChars="200"/>
        <w:rPr>
          <w:rFonts w:hint="eastAsia" w:ascii="宋体" w:hAnsi="宋体" w:eastAsia="宋体" w:cs="宋体"/>
          <w:b/>
          <w:bCs w:val="0"/>
          <w:sz w:val="24"/>
          <w:szCs w:val="24"/>
          <w:highlight w:val="none"/>
          <w:u w:val="single"/>
          <w:lang w:val="en-US" w:eastAsia="zh-CN"/>
        </w:rPr>
      </w:pPr>
      <w:bookmarkStart w:id="66" w:name="_Toc10762"/>
      <w:r>
        <w:rPr>
          <w:rFonts w:hint="eastAsia" w:ascii="宋体" w:hAnsi="宋体" w:eastAsia="宋体" w:cs="宋体"/>
          <w:b/>
          <w:bCs w:val="0"/>
          <w:sz w:val="24"/>
          <w:szCs w:val="24"/>
          <w:highlight w:val="none"/>
          <w:u w:val="single"/>
          <w:lang w:val="en-US" w:eastAsia="zh-CN"/>
        </w:rPr>
        <w:t>5.</w:t>
      </w:r>
      <w:r>
        <w:rPr>
          <w:rFonts w:hint="eastAsia" w:ascii="宋体" w:hAnsi="宋体" w:cs="宋体"/>
          <w:b/>
          <w:bCs w:val="0"/>
          <w:sz w:val="24"/>
          <w:szCs w:val="24"/>
          <w:highlight w:val="none"/>
          <w:u w:val="single"/>
          <w:lang w:val="en-US" w:eastAsia="zh-CN"/>
        </w:rPr>
        <w:t>5备</w:t>
      </w:r>
      <w:r>
        <w:rPr>
          <w:rFonts w:hint="eastAsia" w:ascii="宋体" w:hAnsi="宋体" w:eastAsia="宋体" w:cs="宋体"/>
          <w:b/>
          <w:bCs w:val="0"/>
          <w:sz w:val="24"/>
          <w:szCs w:val="24"/>
          <w:highlight w:val="none"/>
          <w:u w:val="single"/>
          <w:lang w:val="en-US" w:eastAsia="zh-CN"/>
        </w:rPr>
        <w:t>品、备件</w:t>
      </w:r>
      <w:bookmarkEnd w:id="66"/>
    </w:p>
    <w:p w14:paraId="31E2EC4B">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投标方向招标方提供备件清单，由招标方确认最终选择哪些作为备品备件。招标方招标文件所指备品备件、易损件和专用耗材，是招标方为保证设备质保期之后正常运行一年所自备自用的备品备件、易损件和专用耗材；投标方应免费提供满足设备正常运行一年所需的备品备件、易损件和专用耗材，并附详细清单（包括名称、型号、规格、单位、数量、生产厂家、单价、总价等条目）；投标方应提供设备维修所必需的专用工具，并附详细清单（包括名称、型号、规格、单位、数量、生产厂家、单价、总价等条目）；投标方应提供易损件和专用耗材的制造图纸及其技术要求等资料；备品备件、易损件和专用耗材，其费用应分类单列，并计入投标总报价之内。</w:t>
      </w:r>
    </w:p>
    <w:p w14:paraId="56BD830F">
      <w:pPr>
        <w:spacing w:line="360" w:lineRule="auto"/>
        <w:ind w:firstLine="482" w:firstLineChars="200"/>
        <w:rPr>
          <w:rFonts w:hint="eastAsia" w:ascii="宋体" w:hAnsi="宋体" w:cs="宋体"/>
          <w:b/>
          <w:bCs w:val="0"/>
          <w:sz w:val="24"/>
          <w:szCs w:val="24"/>
          <w:lang w:val="en-US" w:eastAsia="zh-CN"/>
        </w:rPr>
      </w:pPr>
      <w:r>
        <w:rPr>
          <w:rFonts w:hint="eastAsia" w:ascii="宋体" w:hAnsi="宋体" w:eastAsia="宋体" w:cs="宋体"/>
          <w:b/>
          <w:bCs w:val="0"/>
          <w:sz w:val="24"/>
          <w:szCs w:val="24"/>
          <w:lang w:val="en-US" w:eastAsia="zh-CN"/>
        </w:rPr>
        <w:t>5.</w:t>
      </w:r>
      <w:r>
        <w:rPr>
          <w:rFonts w:hint="eastAsia" w:ascii="宋体" w:hAnsi="宋体" w:cs="宋体"/>
          <w:b/>
          <w:bCs w:val="0"/>
          <w:sz w:val="24"/>
          <w:szCs w:val="24"/>
          <w:lang w:val="en-US" w:eastAsia="zh-CN"/>
        </w:rPr>
        <w:t>6技术资料</w:t>
      </w:r>
    </w:p>
    <w:p w14:paraId="64AEFF5F">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（1）</w:t>
      </w:r>
      <w:r>
        <w:rPr>
          <w:rFonts w:hint="default" w:ascii="宋体" w:hAnsi="宋体" w:cs="宋体"/>
          <w:bCs/>
          <w:sz w:val="24"/>
          <w:szCs w:val="24"/>
          <w:lang w:val="en-US" w:eastAsia="zh-CN"/>
        </w:rPr>
        <w:t>投标方须负责在终验收前，提供包括设备（或材料）的操作维护手册，保养维修手册、操作和安全事项的使用说明书、设备（或材料）的设计总图、安装基础图、维修图等有关的资料；</w:t>
      </w:r>
    </w:p>
    <w:p w14:paraId="74C1E94A">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（2）</w:t>
      </w:r>
      <w:r>
        <w:rPr>
          <w:rFonts w:hint="default" w:ascii="宋体" w:hAnsi="宋体" w:cs="宋体"/>
          <w:bCs/>
          <w:sz w:val="24"/>
          <w:szCs w:val="24"/>
          <w:lang w:val="en-US" w:eastAsia="zh-CN"/>
        </w:rPr>
        <w:t>本“技术资料范围”所列的技术资料、图等，卖方应各提供纸质资料、电子资料（U盘）各3套，每份技术文件应装有目录清单；</w:t>
      </w:r>
    </w:p>
    <w:p w14:paraId="7A12D4EC">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（3）</w:t>
      </w:r>
      <w:r>
        <w:rPr>
          <w:rFonts w:hint="default" w:ascii="宋体" w:hAnsi="宋体" w:cs="宋体"/>
          <w:bCs/>
          <w:sz w:val="24"/>
          <w:szCs w:val="24"/>
          <w:lang w:val="en-US" w:eastAsia="zh-CN"/>
        </w:rPr>
        <w:t>投标方须提供完整的所有设备和部件的中文技术资料，技术资料应包含 以下内容：</w:t>
      </w:r>
    </w:p>
    <w:p w14:paraId="7F279B41">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设备描述；</w:t>
      </w:r>
    </w:p>
    <w:p w14:paraId="0B5A8C6D">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使用说明书（含机械、电气部分）；</w:t>
      </w:r>
    </w:p>
    <w:p w14:paraId="1530180B">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产品合格证书；</w:t>
      </w:r>
    </w:p>
    <w:p w14:paraId="5B6A5D17">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装箱单；</w:t>
      </w:r>
    </w:p>
    <w:p w14:paraId="37DE5AC0">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零部件和备件清单；</w:t>
      </w:r>
    </w:p>
    <w:p w14:paraId="3FDA7E7A">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消耗材料和易损件清单；</w:t>
      </w:r>
    </w:p>
    <w:p w14:paraId="79C2C1FF">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维修和保养手册；</w:t>
      </w:r>
    </w:p>
    <w:p w14:paraId="161D7D2D">
      <w:pPr>
        <w:numPr>
          <w:ilvl w:val="0"/>
          <w:numId w:val="0"/>
        </w:numPr>
        <w:spacing w:line="360" w:lineRule="auto"/>
        <w:ind w:firstLine="480" w:firstLineChars="200"/>
        <w:rPr>
          <w:rFonts w:hint="default" w:ascii="宋体" w:hAnsi="宋体" w:cs="宋体"/>
          <w:bCs/>
          <w:sz w:val="24"/>
          <w:szCs w:val="24"/>
          <w:lang w:val="en-US" w:eastAsia="zh-CN"/>
        </w:rPr>
      </w:pPr>
      <w:r>
        <w:rPr>
          <w:rFonts w:hint="default" w:ascii="宋体" w:hAnsi="宋体" w:cs="宋体"/>
          <w:b w:val="0"/>
          <w:bCs/>
          <w:sz w:val="24"/>
          <w:szCs w:val="24"/>
          <w:lang w:val="en-US" w:eastAsia="zh-CN"/>
        </w:rPr>
        <w:t>提供软件安装包备份文件</w:t>
      </w:r>
      <w:r>
        <w:rPr>
          <w:rFonts w:hint="eastAsia" w:ascii="宋体" w:hAnsi="宋体" w:cs="宋体"/>
          <w:b w:val="0"/>
          <w:bCs/>
          <w:sz w:val="24"/>
          <w:szCs w:val="24"/>
          <w:lang w:val="en-US" w:eastAsia="zh-CN"/>
        </w:rPr>
        <w:t>；</w:t>
      </w:r>
    </w:p>
    <w:p w14:paraId="6FAC3547">
      <w:pPr>
        <w:numPr>
          <w:ilvl w:val="0"/>
          <w:numId w:val="0"/>
        </w:numPr>
        <w:spacing w:line="360" w:lineRule="auto"/>
        <w:ind w:firstLine="482" w:firstLineChars="200"/>
        <w:rPr>
          <w:rFonts w:hint="eastAsia" w:ascii="宋体" w:hAnsi="宋体" w:cs="宋体"/>
          <w:b/>
          <w:bCs w:val="0"/>
          <w:sz w:val="24"/>
          <w:szCs w:val="24"/>
          <w:lang w:val="en-US" w:eastAsia="zh-CN"/>
        </w:rPr>
      </w:pPr>
      <w:r>
        <w:rPr>
          <w:rFonts w:hint="eastAsia" w:ascii="宋体" w:hAnsi="宋体" w:cs="宋体"/>
          <w:b/>
          <w:bCs w:val="0"/>
          <w:sz w:val="24"/>
          <w:szCs w:val="24"/>
          <w:lang w:val="en-US" w:eastAsia="zh-CN"/>
        </w:rPr>
        <w:t>三方计量检定/校准证书。</w:t>
      </w:r>
    </w:p>
    <w:p w14:paraId="0FE59202">
      <w:pPr>
        <w:spacing w:line="360" w:lineRule="auto"/>
        <w:rPr>
          <w:rFonts w:hint="eastAsia" w:ascii="宋体" w:hAnsi="宋体" w:cs="Times New Roman"/>
          <w:b/>
          <w:bCs/>
          <w:spacing w:val="4"/>
          <w:sz w:val="24"/>
        </w:rPr>
      </w:pPr>
      <w:r>
        <w:rPr>
          <w:rFonts w:hint="eastAsia" w:ascii="宋体" w:hAnsi="宋体" w:cs="Times New Roman"/>
          <w:b/>
          <w:bCs/>
          <w:spacing w:val="4"/>
          <w:sz w:val="24"/>
          <w:lang w:val="en-US" w:eastAsia="zh-CN"/>
        </w:rPr>
        <w:t>6、</w:t>
      </w:r>
      <w:r>
        <w:rPr>
          <w:rFonts w:hint="eastAsia" w:ascii="宋体" w:hAnsi="宋体" w:cs="Times New Roman"/>
          <w:b/>
          <w:bCs/>
          <w:spacing w:val="4"/>
          <w:sz w:val="24"/>
        </w:rPr>
        <w:t>保养、维修、使用方便性要求</w:t>
      </w:r>
    </w:p>
    <w:p w14:paraId="1BA9F1C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6.1</w:t>
      </w:r>
      <w:r>
        <w:rPr>
          <w:rFonts w:hint="eastAsia" w:ascii="宋体" w:hAnsi="宋体" w:cs="Times New Roman"/>
          <w:spacing w:val="4"/>
          <w:sz w:val="24"/>
        </w:rPr>
        <w:t>各系统安全性、稳定性、可靠性良好；维护简单方便；操作者容易使用、保养和维护。</w:t>
      </w:r>
    </w:p>
    <w:p w14:paraId="592AC14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6.2</w:t>
      </w:r>
      <w:r>
        <w:rPr>
          <w:rFonts w:hint="eastAsia" w:ascii="宋体" w:hAnsi="宋体" w:cs="Times New Roman"/>
          <w:spacing w:val="4"/>
          <w:sz w:val="24"/>
        </w:rPr>
        <w:t xml:space="preserve"> 安全防护、环境保护、节能要求</w:t>
      </w:r>
    </w:p>
    <w:p w14:paraId="0C4DD4C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振动与噪声低于行业标准；系统抗干扰以及不干扰其他设备系统。</w:t>
      </w:r>
    </w:p>
    <w:p w14:paraId="7DD4419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w:t>
      </w:r>
      <w:r>
        <w:rPr>
          <w:rFonts w:hint="eastAsia" w:ascii="宋体" w:hAnsi="宋体" w:cs="Times New Roman"/>
          <w:spacing w:val="4"/>
          <w:sz w:val="24"/>
        </w:rPr>
        <w:t xml:space="preserve"> </w:t>
      </w:r>
      <w:r>
        <w:rPr>
          <w:rFonts w:hint="eastAsia" w:ascii="宋体" w:hAnsi="宋体" w:cs="Times New Roman"/>
          <w:spacing w:val="4"/>
          <w:sz w:val="24"/>
          <w:lang w:val="en-US" w:eastAsia="zh-CN"/>
        </w:rPr>
        <w:t>3</w:t>
      </w:r>
      <w:r>
        <w:rPr>
          <w:rFonts w:hint="eastAsia" w:ascii="宋体" w:hAnsi="宋体" w:cs="Times New Roman"/>
          <w:spacing w:val="4"/>
          <w:sz w:val="24"/>
        </w:rPr>
        <w:t>投标方应列出全部设备、工具及其它装置的清单，清单中包括设备名称、型号、规格、数量、制造厂家。</w:t>
      </w:r>
    </w:p>
    <w:p w14:paraId="64F10F6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6.4</w:t>
      </w:r>
      <w:r>
        <w:rPr>
          <w:rFonts w:hint="eastAsia" w:ascii="宋体" w:hAnsi="宋体" w:cs="Times New Roman"/>
          <w:spacing w:val="4"/>
          <w:sz w:val="24"/>
        </w:rPr>
        <w:t>投标方应提供全部设备、工具及装置的图样，样本或说明资料。对需要专门设计的设备及装置，投标方应提供必要的图样。</w:t>
      </w:r>
    </w:p>
    <w:p w14:paraId="4D95282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6.5</w:t>
      </w:r>
      <w:r>
        <w:rPr>
          <w:rFonts w:hint="eastAsia" w:ascii="宋体" w:hAnsi="宋体" w:cs="Times New Roman"/>
          <w:spacing w:val="4"/>
          <w:sz w:val="24"/>
        </w:rPr>
        <w:t xml:space="preserve"> 投标方设备选型时，机械和电气元件尽可能选用同型号或种类的产品，以便减少备品备件种类。</w:t>
      </w:r>
    </w:p>
    <w:p w14:paraId="417357A0">
      <w:pPr>
        <w:spacing w:line="360" w:lineRule="auto"/>
        <w:ind w:left="124" w:leftChars="59" w:firstLine="500" w:firstLineChars="202"/>
        <w:rPr>
          <w:rFonts w:hint="eastAsia" w:ascii="宋体" w:hAnsi="宋体" w:cs="Times New Roman"/>
          <w:b/>
          <w:bCs/>
          <w:spacing w:val="4"/>
          <w:sz w:val="24"/>
        </w:rPr>
      </w:pPr>
      <w:r>
        <w:rPr>
          <w:rFonts w:hint="eastAsia" w:ascii="宋体" w:hAnsi="宋体" w:cs="Times New Roman"/>
          <w:spacing w:val="4"/>
          <w:sz w:val="24"/>
          <w:lang w:val="en-US" w:eastAsia="zh-CN"/>
        </w:rPr>
        <w:t>6.6</w:t>
      </w:r>
      <w:r>
        <w:rPr>
          <w:rFonts w:hint="eastAsia" w:ascii="宋体" w:hAnsi="宋体" w:cs="Times New Roman"/>
          <w:spacing w:val="4"/>
          <w:sz w:val="24"/>
        </w:rPr>
        <w:t xml:space="preserve"> 对于设备的品牌和材料，本协议未明确指定的，首先由投标方提出建议，最终经招标方评审通过并书面确认后实施。</w:t>
      </w:r>
    </w:p>
    <w:p w14:paraId="6E815265">
      <w:pPr>
        <w:spacing w:line="360" w:lineRule="auto"/>
        <w:rPr>
          <w:rFonts w:hint="eastAsia" w:ascii="宋体" w:hAnsi="宋体" w:cs="Times New Roman"/>
          <w:b/>
          <w:bCs/>
          <w:spacing w:val="4"/>
          <w:sz w:val="24"/>
        </w:rPr>
      </w:pPr>
      <w:r>
        <w:rPr>
          <w:rFonts w:hint="eastAsia" w:ascii="宋体" w:hAnsi="宋体" w:cs="Times New Roman"/>
          <w:b/>
          <w:bCs/>
          <w:spacing w:val="4"/>
          <w:sz w:val="24"/>
        </w:rPr>
        <w:t>7、包装运输</w:t>
      </w:r>
    </w:p>
    <w:p w14:paraId="35A1BA2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7.1 货物需进行必要的包装防护，做好防锈、防雨、隔离、固定等处理，保证货物在运输途中，安全无损坏；进口货物，按国际包装规范要求包装；</w:t>
      </w:r>
    </w:p>
    <w:p w14:paraId="172EBD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7.2 项目的设备等经招标方预验收并完成预验收时问题的整改，经招标方确认后发运至招标方；</w:t>
      </w:r>
    </w:p>
    <w:p w14:paraId="10CE400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7.3 货物运输到达的目的地为招标方工厂，投标方同时承担货物从投标方工厂到招标方工厂的运保费。投标方应在交货前7天内向招标方提供货物价值以及尺寸、重量等明细清单、预计到达招标方的时间等信息。</w:t>
      </w:r>
    </w:p>
    <w:p w14:paraId="05FE30C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7.4 投标方提供的技术资料及易损件清单经招标方确认后随货物同时发至招标方。</w:t>
      </w:r>
    </w:p>
    <w:p w14:paraId="15FD530A">
      <w:pPr>
        <w:spacing w:line="360" w:lineRule="auto"/>
        <w:jc w:val="left"/>
        <w:rPr>
          <w:rFonts w:hint="eastAsia" w:ascii="宋体" w:hAnsi="宋体" w:cs="Times New Roman"/>
          <w:b/>
          <w:bCs/>
          <w:spacing w:val="4"/>
          <w:sz w:val="24"/>
        </w:rPr>
      </w:pPr>
      <w:r>
        <w:rPr>
          <w:rFonts w:hint="eastAsia" w:ascii="宋体" w:hAnsi="宋体" w:cs="Times New Roman"/>
          <w:b/>
          <w:bCs/>
          <w:spacing w:val="4"/>
          <w:sz w:val="24"/>
        </w:rPr>
        <w:t>8、安装调试</w:t>
      </w:r>
    </w:p>
    <w:p w14:paraId="1923D2D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8.1 投标方在设备进厂前需与招标方签订相关安全协议，除遵守必要的有关中华人民 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65DABDA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 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02E6061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8.2.1 人员作业计划、管理</w:t>
      </w:r>
    </w:p>
    <w:p w14:paraId="12D342A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8.2.2 设备管理</w:t>
      </w:r>
    </w:p>
    <w:p w14:paraId="162BC3A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8.2.3 施工安全保障措施、方案</w:t>
      </w:r>
    </w:p>
    <w:p w14:paraId="5B95DBA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8.2.4 危险作业</w:t>
      </w:r>
    </w:p>
    <w:p w14:paraId="0FCB3B5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8.2.5 与招标方项目管理人员的协调</w:t>
      </w:r>
    </w:p>
    <w:p w14:paraId="44893F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另外招标方提醒：在批量生产前投标方有义务保证其货物的完好无损或避免丢失。</w:t>
      </w:r>
    </w:p>
    <w:p w14:paraId="461ED7A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8.3 根据设备的要求，调试可分空载和负载两个阶段进行；招标人将予以积极配合，协助投标人达到设备的各项技术要求和性能；</w:t>
      </w:r>
    </w:p>
    <w:p w14:paraId="2E27950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8.4 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6A18861F">
      <w:pPr>
        <w:spacing w:line="360" w:lineRule="auto"/>
        <w:rPr>
          <w:rFonts w:hint="eastAsia" w:ascii="宋体" w:hAnsi="宋体" w:cs="Times New Roman"/>
          <w:b/>
          <w:bCs/>
          <w:spacing w:val="4"/>
          <w:sz w:val="24"/>
        </w:rPr>
      </w:pPr>
      <w:r>
        <w:rPr>
          <w:rFonts w:hint="eastAsia" w:ascii="宋体" w:hAnsi="宋体" w:cs="Times New Roman"/>
          <w:b/>
          <w:bCs/>
          <w:spacing w:val="4"/>
          <w:sz w:val="24"/>
        </w:rPr>
        <w:t>9、验收及标准</w:t>
      </w:r>
    </w:p>
    <w:p w14:paraId="2ABE8FC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9.1 项目验收标准由招标方提供，投标方确认。项目验收以招标方提供的验收标准和双方达成的技术协议作为验收依据。</w:t>
      </w:r>
    </w:p>
    <w:p w14:paraId="5A72128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9.2 验收包括预验收、安装完工验收和终验收。招标方以投标方提供并经过招标方确认后的设计制造规范和验收标准进行验收。</w:t>
      </w:r>
    </w:p>
    <w:p w14:paraId="7F82C2CE">
      <w:pPr>
        <w:spacing w:line="360" w:lineRule="auto"/>
        <w:ind w:left="124" w:leftChars="59" w:firstLine="500" w:firstLineChars="202"/>
        <w:rPr>
          <w:rFonts w:hint="eastAsia" w:ascii="宋体" w:hAnsi="宋体" w:cs="Times New Roman"/>
          <w:color w:val="auto"/>
          <w:spacing w:val="4"/>
          <w:sz w:val="24"/>
        </w:rPr>
      </w:pPr>
      <w:r>
        <w:rPr>
          <w:rFonts w:hint="eastAsia" w:ascii="宋体" w:hAnsi="宋体" w:cs="Times New Roman"/>
          <w:color w:val="auto"/>
          <w:spacing w:val="4"/>
          <w:sz w:val="24"/>
        </w:rPr>
        <w:t>9.3 预验收</w:t>
      </w:r>
    </w:p>
    <w:p w14:paraId="26EC0F0D">
      <w:pPr>
        <w:spacing w:line="360" w:lineRule="auto"/>
        <w:ind w:left="124" w:leftChars="59" w:firstLine="500" w:firstLineChars="202"/>
        <w:rPr>
          <w:rFonts w:hint="eastAsia" w:ascii="宋体" w:hAnsi="宋体" w:cs="Times New Roman"/>
          <w:color w:val="auto"/>
          <w:spacing w:val="4"/>
          <w:sz w:val="24"/>
          <w:lang w:val="en-US" w:eastAsia="zh-CN"/>
        </w:rPr>
      </w:pPr>
      <w:r>
        <w:rPr>
          <w:rFonts w:hint="eastAsia" w:ascii="宋体" w:hAnsi="宋体" w:cs="Times New Roman"/>
          <w:color w:val="auto"/>
          <w:spacing w:val="4"/>
          <w:sz w:val="24"/>
          <w:lang w:val="en-US" w:eastAsia="zh-CN"/>
        </w:rPr>
        <w:t>本项目无</w:t>
      </w:r>
    </w:p>
    <w:p w14:paraId="359BF04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 安装完工验收</w:t>
      </w:r>
    </w:p>
    <w:p w14:paraId="709A1B4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 具备如下条件开始进行安装完工验收：</w:t>
      </w:r>
    </w:p>
    <w:p w14:paraId="61F5B62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9.4.1.1 设备工具具备使用条件，并安装调试结束；</w:t>
      </w:r>
    </w:p>
    <w:p w14:paraId="4AA51DB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9.4.1.2 验收所需要的资料已经修改后提交给招标方；</w:t>
      </w:r>
    </w:p>
    <w:p w14:paraId="1ED7364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9.4.1.3 达到设计节拍；</w:t>
      </w:r>
    </w:p>
    <w:p w14:paraId="16A0C9B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9.4.1.4 验收之前，投标方提供预验收大纲给招标方进行确认；</w:t>
      </w:r>
    </w:p>
    <w:p w14:paraId="66CDE8A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9.4.1.5 验收之后，招标方和投标方针对预验收结果签署验收报告和问题整改计划表。</w:t>
      </w:r>
    </w:p>
    <w:p w14:paraId="41FC374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 验收内容：</w:t>
      </w:r>
    </w:p>
    <w:p w14:paraId="72909B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9.4.2.1 在设备工具安装调试期间，招标方将组织工具试运行验证等工作，招标方要 求投标方派专人参与这些工作。同时，要对招标方的维修人员、试生产操作人员进行培训， 使相应人员具备独立自主对设备工具、软件程序等进行生产操作的能力。</w:t>
      </w:r>
    </w:p>
    <w:p w14:paraId="5995F27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9.4.2.2 设备工具安装与调试施工完成后，在招标方工厂现场，由投标方组织进行自 验收，招标方派人参与这个过程；</w:t>
      </w:r>
    </w:p>
    <w:p w14:paraId="450ED43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9.4.2.3 投标方在及时整改自验收中发现的问题后，由投标方在招标方工厂现场组织 召开一个报告会，向招标方介绍自验收的组织、设备工具运行情况、对招标方人员的培训达标情况、结论、存在问题等，并提供相应的验收、评价报告、每个设备/系统的检查合格单及相关图纸资料等；</w:t>
      </w:r>
    </w:p>
    <w:p w14:paraId="319519F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9.4.2.4 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3E3A761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9.4.2.5 试生产期间，投标方需安排由技术、设备维护、操作指导等专业人员对试生产进行全程服务，及时解决试生产过程中出现的问题。</w:t>
      </w:r>
    </w:p>
    <w:p w14:paraId="1042A59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 xml:space="preserve"> </w:t>
      </w:r>
      <w:r>
        <w:rPr>
          <w:rFonts w:hint="eastAsia" w:ascii="宋体" w:hAnsi="宋体" w:cs="Times New Roman"/>
          <w:spacing w:val="4"/>
          <w:sz w:val="24"/>
          <w:lang w:val="en-US" w:eastAsia="zh-CN"/>
        </w:rPr>
        <w:t>终</w:t>
      </w:r>
      <w:r>
        <w:rPr>
          <w:rFonts w:hint="eastAsia" w:ascii="宋体" w:hAnsi="宋体" w:cs="Times New Roman"/>
          <w:spacing w:val="4"/>
          <w:sz w:val="24"/>
        </w:rPr>
        <w:t>验收</w:t>
      </w:r>
    </w:p>
    <w:p w14:paraId="528BF35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1终验收规程：</w:t>
      </w:r>
    </w:p>
    <w:p w14:paraId="395CB78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设备（或材料）允许情况下，一般连续运行 30 天，每天连续</w:t>
      </w:r>
      <w:r>
        <w:rPr>
          <w:rFonts w:hint="eastAsia" w:ascii="宋体" w:hAnsi="宋体" w:cs="Times New Roman"/>
          <w:spacing w:val="4"/>
          <w:sz w:val="24"/>
          <w:lang w:val="en-US" w:eastAsia="zh-CN"/>
        </w:rPr>
        <w:t>不低于</w:t>
      </w:r>
      <w:r>
        <w:rPr>
          <w:rFonts w:hint="eastAsia" w:ascii="宋体" w:hAnsi="宋体" w:cs="Times New Roman"/>
          <w:spacing w:val="4"/>
          <w:sz w:val="24"/>
        </w:rPr>
        <w:t xml:space="preserve"> 10 小时，除用户方面因素外，必须达到以下要求：</w:t>
      </w:r>
    </w:p>
    <w:p w14:paraId="3F14A7B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w:t>
      </w:r>
      <w:r>
        <w:rPr>
          <w:rFonts w:hint="eastAsia" w:ascii="宋体" w:hAnsi="宋体" w:cs="Times New Roman"/>
          <w:spacing w:val="4"/>
          <w:sz w:val="24"/>
          <w:lang w:val="en-US" w:eastAsia="zh-CN"/>
        </w:rPr>
        <w:t>.</w:t>
      </w:r>
      <w:r>
        <w:rPr>
          <w:rFonts w:hint="eastAsia" w:ascii="宋体" w:hAnsi="宋体" w:cs="Times New Roman"/>
          <w:spacing w:val="4"/>
          <w:sz w:val="24"/>
        </w:rPr>
        <w:t>在整个验收过程中没有维修、更换零部件或元件行为；</w:t>
      </w:r>
    </w:p>
    <w:p w14:paraId="5A3B775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b.</w:t>
      </w:r>
      <w:r>
        <w:rPr>
          <w:rFonts w:hint="eastAsia" w:ascii="宋体" w:hAnsi="宋体" w:cs="Times New Roman"/>
          <w:spacing w:val="4"/>
          <w:sz w:val="24"/>
        </w:rPr>
        <w:t>终验收原则上要求一次完成，若一次验收不成功，最多允许两次；</w:t>
      </w:r>
    </w:p>
    <w:p w14:paraId="77B8D16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w:t>
      </w:r>
      <w:r>
        <w:rPr>
          <w:rFonts w:hint="eastAsia" w:ascii="宋体" w:hAnsi="宋体" w:cs="Times New Roman"/>
          <w:spacing w:val="4"/>
          <w:sz w:val="24"/>
          <w:lang w:val="en-US" w:eastAsia="zh-CN"/>
        </w:rPr>
        <w:t>.</w:t>
      </w:r>
      <w:r>
        <w:rPr>
          <w:rFonts w:hint="eastAsia" w:ascii="宋体" w:hAnsi="宋体" w:cs="Times New Roman"/>
          <w:spacing w:val="4"/>
          <w:sz w:val="24"/>
        </w:rPr>
        <w:t>终验收通过后买卖双方共同签署终验收报告。</w:t>
      </w:r>
    </w:p>
    <w:p w14:paraId="4DCC37A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2终验收时的一般验收标准与要求：</w:t>
      </w:r>
    </w:p>
    <w:p w14:paraId="0DA5D4A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a.资料齐全性、完整性和有效性。</w:t>
      </w:r>
    </w:p>
    <w:p w14:paraId="3C54B31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b.设备（或材料）应运行稳定、可靠、安全，无异常声音和非正常振动。设备不允许出现漏水、漏液、漏气（汽）、漏电。</w:t>
      </w:r>
    </w:p>
    <w:p w14:paraId="2087F41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c.设备（或材料）应有完整的标牌，且清晰易见；</w:t>
      </w:r>
    </w:p>
    <w:p w14:paraId="3C9F9AD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5.3</w:t>
      </w:r>
      <w:r>
        <w:rPr>
          <w:rFonts w:hint="eastAsia" w:ascii="宋体" w:hAnsi="宋体" w:cs="Times New Roman"/>
          <w:spacing w:val="4"/>
          <w:sz w:val="24"/>
        </w:rPr>
        <w:t xml:space="preserve"> 终验收条件</w:t>
      </w:r>
    </w:p>
    <w:p w14:paraId="07BC50D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依据招标文件、投标文件、答疑文件、技术交流文件等形成并达成一致的技术协议书和合同规定的终验收条件验收。</w:t>
      </w:r>
    </w:p>
    <w:p w14:paraId="3D28B154">
      <w:pPr>
        <w:spacing w:line="360" w:lineRule="auto"/>
        <w:rPr>
          <w:rFonts w:hint="eastAsia" w:ascii="宋体" w:hAnsi="宋体" w:cs="Times New Roman"/>
          <w:spacing w:val="4"/>
          <w:sz w:val="24"/>
        </w:rPr>
      </w:pPr>
      <w:r>
        <w:rPr>
          <w:rFonts w:hint="eastAsia" w:ascii="宋体" w:hAnsi="宋体" w:cs="Times New Roman"/>
          <w:b/>
          <w:bCs/>
          <w:spacing w:val="4"/>
          <w:sz w:val="24"/>
        </w:rPr>
        <w:t>10、培训</w:t>
      </w:r>
    </w:p>
    <w:p w14:paraId="4601D91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10.1 培训对象</w:t>
      </w:r>
    </w:p>
    <w:p w14:paraId="12FDE60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培训对象包含整套设备的操作和维护人员。</w:t>
      </w:r>
    </w:p>
    <w:p w14:paraId="0EA4A0D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 培训内容</w:t>
      </w:r>
    </w:p>
    <w:p w14:paraId="5B54E48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10.2.1 投标方负责提供所有设备、各分段系统及系统整体技术培训工作；</w:t>
      </w:r>
    </w:p>
    <w:p w14:paraId="2867662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10.2.2 生产现场培训</w:t>
      </w:r>
    </w:p>
    <w:p w14:paraId="67B2F6A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投标方负责在招标方设备使用现场，进行 24～32 小时技术指导和培训，并接受招标方有关人员的技术咨询，招标方负责提供培训场地及组织培训人员；</w:t>
      </w:r>
    </w:p>
    <w:p w14:paraId="3CF3533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 全部培训课程应包括技术说明、安全要求综合理解（含应急和关闭处理程序）、 应用说明书与图纸的使用及技术操作。</w:t>
      </w:r>
    </w:p>
    <w:p w14:paraId="31E0F29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培训课程主要侧重于（但不限于）以下方面：</w:t>
      </w:r>
    </w:p>
    <w:p w14:paraId="0DB9528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10.2.3.1 设备简介及理论基础；</w:t>
      </w:r>
    </w:p>
    <w:p w14:paraId="4B07AB0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10.2.3.2 设备运行培训（适用于操作人员和监理人员），设备使用操作规范，注意事项等；</w:t>
      </w:r>
    </w:p>
    <w:p w14:paraId="7EB59D1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10.2.3.3 设备保养培训（适用于熟练操作人员），包括：电气与电子设备应用，机械部分基本要领；机械、流体、气动部分应用，以及电气部分基本要领；零部件识别、通讯 及相互作用；检查、检测过程；试验、检测设备；预防性维护（PM）、常规保养程序、保养维护计划、润滑、零部件更换程序以及调整与校正；</w:t>
      </w:r>
    </w:p>
    <w:p w14:paraId="2B4144D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10.2.3.4 投标方应积极协助和提供招标方以及招标方所委托的工程设计单位有关人 员所需要的、与货物有关的工程设计资料、技术咨询等；</w:t>
      </w:r>
    </w:p>
    <w:p w14:paraId="52D5A8B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10.2.3.5 若投标方提供货物涉及到外购外协货物、而且该货物的技术质量等较为关键时，投标方应能保证得到配套厂家的技术支持，并免费为招标方提供技术服务。</w:t>
      </w:r>
    </w:p>
    <w:p w14:paraId="10EB7B1C">
      <w:pPr>
        <w:spacing w:line="360" w:lineRule="auto"/>
        <w:rPr>
          <w:rFonts w:ascii="宋体" w:hAnsi="宋体" w:eastAsia="宋体" w:cs="宋体"/>
          <w:b w:val="0"/>
          <w:i w:val="0"/>
          <w:color w:val="000000"/>
          <w:spacing w:val="0"/>
          <w:w w:val="100"/>
          <w:kern w:val="0"/>
          <w:position w:val="0"/>
          <w:sz w:val="24"/>
          <w:szCs w:val="24"/>
        </w:rPr>
      </w:pPr>
      <w:r>
        <w:rPr>
          <w:rFonts w:hint="eastAsia" w:ascii="宋体" w:hAnsi="宋体" w:cs="Times New Roman"/>
          <w:b/>
          <w:bCs/>
          <w:spacing w:val="4"/>
          <w:sz w:val="24"/>
        </w:rPr>
        <w:t>11、质保期及售后服务</w:t>
      </w:r>
    </w:p>
    <w:p w14:paraId="315EB3D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11.1 在设备终验收后，投标方应派陪产人员驻招标方现场15个工作日（招标方生产日），提供技术服务，如果有重大故障发生，陪产看护期顺延，以故障排除之日起计15工作日（</w:t>
      </w:r>
      <w:r>
        <w:rPr>
          <w:rFonts w:hint="eastAsia" w:ascii="宋体" w:hAnsi="宋体" w:cs="Times New Roman"/>
          <w:spacing w:val="4"/>
          <w:sz w:val="24"/>
          <w:lang w:val="en-US" w:eastAsia="zh-CN"/>
        </w:rPr>
        <w:t>同上</w:t>
      </w:r>
      <w:r>
        <w:rPr>
          <w:rFonts w:hint="eastAsia" w:ascii="宋体" w:hAnsi="宋体" w:cs="Times New Roman"/>
          <w:spacing w:val="4"/>
          <w:sz w:val="24"/>
        </w:rPr>
        <w:t>）；</w:t>
      </w:r>
    </w:p>
    <w:p w14:paraId="7F8AEC3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11.2 设备质保期为</w:t>
      </w:r>
      <w:r>
        <w:rPr>
          <w:rFonts w:hint="eastAsia" w:ascii="宋体" w:hAnsi="宋体" w:cs="Times New Roman"/>
          <w:b/>
          <w:bCs/>
          <w:spacing w:val="4"/>
          <w:sz w:val="24"/>
          <w:u w:val="single"/>
          <w:lang w:val="en-US" w:eastAsia="zh-CN"/>
        </w:rPr>
        <w:t>1</w:t>
      </w:r>
      <w:r>
        <w:rPr>
          <w:rFonts w:hint="eastAsia" w:ascii="宋体" w:hAnsi="宋体" w:cs="Times New Roman"/>
          <w:b/>
          <w:bCs/>
          <w:spacing w:val="4"/>
          <w:sz w:val="24"/>
        </w:rPr>
        <w:t>年</w:t>
      </w:r>
      <w:r>
        <w:rPr>
          <w:rFonts w:hint="eastAsia" w:ascii="宋体" w:hAnsi="宋体" w:cs="Times New Roman"/>
          <w:spacing w:val="4"/>
          <w:sz w:val="24"/>
        </w:rPr>
        <w:t>。自招标方工程终验收合格签字之日起，保证质保期内设备连续运转良好；如质保期内设备发生重大故障，合同质保期顺延，以故障排除之日起计重新计算。</w:t>
      </w:r>
    </w:p>
    <w:p w14:paraId="5D5B266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11.3 质量保证期内由于制造、安装、调试等质量原因造成的设备损坏由投标方在限内负责免费更换或修理，给招标方造成的直接经济损失由投标方承担；</w:t>
      </w:r>
    </w:p>
    <w:p w14:paraId="103F4EA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11.4 如因投标方原因导致在安装、调试、试生产及性能考核期间发生事故，则投标方 应承担因事故而发生的一切经济损失；设备在调试期间，设备调试用备件，由投标方负责 准备并免费提供。如果由于招标方人为因素或外部客观因素导致设备无法正常生产，投标 方将有偿负责维修，只收取材料费。在设备的使用寿命期内，投标方必须长期以最优惠的 价格确保备件、易损件的供应，投标方保证对招标方设备的零部件、易损件等配件的长期 供应，紧急备品备件需在</w:t>
      </w:r>
      <w:r>
        <w:rPr>
          <w:rFonts w:hint="eastAsia" w:ascii="宋体" w:hAnsi="宋体" w:cs="Times New Roman"/>
          <w:spacing w:val="4"/>
          <w:sz w:val="24"/>
          <w:lang w:val="en-US" w:eastAsia="zh-CN"/>
        </w:rPr>
        <w:t>36</w:t>
      </w:r>
      <w:r>
        <w:rPr>
          <w:rFonts w:hint="eastAsia" w:ascii="宋体" w:hAnsi="宋体" w:cs="Times New Roman"/>
          <w:spacing w:val="4"/>
          <w:sz w:val="24"/>
        </w:rPr>
        <w:t>小时内送到招标方使用现场；</w:t>
      </w:r>
    </w:p>
    <w:p w14:paraId="3DCA1FF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11.5 投标方在接到招标方维修电话的</w:t>
      </w:r>
      <w:r>
        <w:rPr>
          <w:rFonts w:hint="eastAsia" w:ascii="宋体" w:hAnsi="宋体" w:cs="Times New Roman"/>
          <w:spacing w:val="4"/>
          <w:sz w:val="24"/>
          <w:lang w:val="en-US" w:eastAsia="zh-CN"/>
        </w:rPr>
        <w:t>6</w:t>
      </w:r>
      <w:r>
        <w:rPr>
          <w:rFonts w:hint="eastAsia" w:ascii="宋体" w:hAnsi="宋体" w:cs="Times New Roman"/>
          <w:spacing w:val="4"/>
          <w:sz w:val="24"/>
        </w:rPr>
        <w:t>小时内作出反应，如遇突发事件投标方接招标 方通知后派专业人员</w:t>
      </w:r>
      <w:r>
        <w:rPr>
          <w:rFonts w:hint="eastAsia" w:ascii="宋体" w:hAnsi="宋体" w:cs="Times New Roman"/>
          <w:spacing w:val="4"/>
          <w:sz w:val="24"/>
          <w:lang w:val="en-US" w:eastAsia="zh-CN"/>
        </w:rPr>
        <w:t>24</w:t>
      </w:r>
      <w:r>
        <w:rPr>
          <w:rFonts w:hint="eastAsia" w:ascii="宋体" w:hAnsi="宋体" w:cs="Times New Roman"/>
          <w:spacing w:val="4"/>
          <w:sz w:val="24"/>
        </w:rPr>
        <w:t>小时内赶到现场进行服务，如遇需外方人员支持则</w:t>
      </w:r>
      <w:r>
        <w:rPr>
          <w:rFonts w:hint="eastAsia" w:ascii="宋体" w:hAnsi="宋体" w:cs="Times New Roman"/>
          <w:spacing w:val="4"/>
          <w:sz w:val="24"/>
          <w:lang w:val="en-US" w:eastAsia="zh-CN"/>
        </w:rPr>
        <w:t>72</w:t>
      </w:r>
      <w:r>
        <w:rPr>
          <w:rFonts w:hint="eastAsia" w:ascii="宋体" w:hAnsi="宋体" w:cs="Times New Roman"/>
          <w:spacing w:val="4"/>
          <w:sz w:val="24"/>
        </w:rPr>
        <w:t>小时内赶到 现场进行服务；</w:t>
      </w:r>
    </w:p>
    <w:p w14:paraId="1494C69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11.6 投标方终身为招标方定期提供例行检查和维修服务；投标方负责定期进行回访（1次/6个月），向招标方了解设备和系统使用情况，收集招标方意见和建议，对设备进行免 费维修保养，超过质保期后维修等费用只收取零部件成本费及适当的人工费；</w:t>
      </w:r>
    </w:p>
    <w:p w14:paraId="517347C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11.7 质保期结束后，投标方仍负责对设备和系统提供终身维修服务，投标方在接到招 标方故障通知后立即给予答复，并及时委派专业技术人员到现场免费提供咨询、维修服务，其维修只收取配件费。</w:t>
      </w:r>
    </w:p>
    <w:p w14:paraId="0368CDCA">
      <w:pPr>
        <w:widowControl/>
        <w:jc w:val="left"/>
        <w:rPr>
          <w:rFonts w:hint="eastAsia" w:ascii="宋体" w:hAnsi="宋体"/>
          <w:spacing w:val="4"/>
          <w:sz w:val="24"/>
        </w:rPr>
      </w:pPr>
    </w:p>
    <w:p w14:paraId="72CC0FF6">
      <w:pPr>
        <w:spacing w:line="360" w:lineRule="auto"/>
        <w:ind w:left="124" w:leftChars="59" w:firstLine="500" w:firstLineChars="202"/>
        <w:rPr>
          <w:rFonts w:hint="eastAsia" w:ascii="宋体" w:hAnsi="宋体"/>
          <w:spacing w:val="4"/>
          <w:sz w:val="24"/>
        </w:rPr>
      </w:pPr>
    </w:p>
    <w:p w14:paraId="7883A053">
      <w:pPr>
        <w:keepNext w:val="0"/>
        <w:keepLines w:val="0"/>
        <w:pageBreakBefore w:val="0"/>
        <w:widowControl w:val="0"/>
        <w:kinsoku/>
        <w:wordWrap/>
        <w:overflowPunct/>
        <w:topLinePunct w:val="0"/>
        <w:autoSpaceDE/>
        <w:autoSpaceDN/>
        <w:bidi w:val="0"/>
        <w:ind w:firstLine="723" w:firstLineChars="200"/>
        <w:jc w:val="left"/>
        <w:textAlignment w:val="auto"/>
        <w:rPr>
          <w:rStyle w:val="46"/>
        </w:rPr>
      </w:pPr>
      <w:r>
        <w:rPr>
          <w:rStyle w:val="46"/>
          <w:rFonts w:hint="eastAsia"/>
        </w:rPr>
        <w:br w:type="page"/>
      </w:r>
    </w:p>
    <w:p w14:paraId="3F9ADAB1">
      <w:pPr>
        <w:pStyle w:val="2"/>
        <w:keepNext w:val="0"/>
        <w:keepLines w:val="0"/>
        <w:pageBreakBefore w:val="0"/>
        <w:widowControl w:val="0"/>
        <w:kinsoku/>
        <w:wordWrap/>
        <w:overflowPunct/>
        <w:topLinePunct w:val="0"/>
        <w:autoSpaceDE/>
        <w:autoSpaceDN/>
        <w:bidi w:val="0"/>
        <w:ind w:firstLine="723" w:firstLineChars="200"/>
        <w:jc w:val="left"/>
        <w:textAlignment w:val="auto"/>
      </w:pPr>
      <w:bookmarkStart w:id="67" w:name="_Toc32672"/>
      <w:r>
        <w:rPr>
          <w:rStyle w:val="46"/>
          <w:rFonts w:hint="eastAsia"/>
          <w:b/>
          <w:bCs/>
        </w:rPr>
        <w:t>第五章</w:t>
      </w:r>
      <w:bookmarkEnd w:id="24"/>
      <w:r>
        <w:rPr>
          <w:rStyle w:val="46"/>
          <w:rFonts w:hint="eastAsia"/>
          <w:b/>
          <w:bCs/>
        </w:rPr>
        <w:t xml:space="preserve"> 服务标准及要求</w:t>
      </w:r>
      <w:bookmarkEnd w:id="35"/>
      <w:bookmarkEnd w:id="67"/>
    </w:p>
    <w:p w14:paraId="50F9AE65">
      <w:pPr>
        <w:spacing w:line="360" w:lineRule="auto"/>
        <w:ind w:firstLine="482" w:firstLineChars="200"/>
        <w:rPr>
          <w:rFonts w:hint="eastAsia" w:ascii="宋体" w:hAnsi="宋体"/>
          <w:sz w:val="24"/>
        </w:rPr>
      </w:pPr>
      <w:bookmarkStart w:id="68" w:name="_Toc328489369"/>
      <w:bookmarkStart w:id="69" w:name="_Toc328489323"/>
      <w:r>
        <w:rPr>
          <w:rFonts w:hint="eastAsia" w:ascii="宋体" w:hAnsi="宋体"/>
          <w:b/>
          <w:sz w:val="24"/>
        </w:rPr>
        <w:t>一、招标范围</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905"/>
        <w:gridCol w:w="1260"/>
        <w:gridCol w:w="1118"/>
      </w:tblGrid>
      <w:tr w14:paraId="26D20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2A1CF3FF">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序号</w:t>
            </w:r>
          </w:p>
        </w:tc>
        <w:tc>
          <w:tcPr>
            <w:tcW w:w="1755" w:type="dxa"/>
            <w:vAlign w:val="center"/>
          </w:tcPr>
          <w:p w14:paraId="383667D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项目内容</w:t>
            </w:r>
          </w:p>
        </w:tc>
        <w:tc>
          <w:tcPr>
            <w:tcW w:w="1515" w:type="dxa"/>
            <w:vAlign w:val="center"/>
          </w:tcPr>
          <w:p w14:paraId="305E883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数量</w:t>
            </w:r>
            <w:r>
              <w:rPr>
                <w:rFonts w:hint="eastAsia" w:ascii="宋体" w:hAnsi="宋体" w:cs="宋体"/>
                <w:sz w:val="24"/>
                <w:szCs w:val="28"/>
                <w:highlight w:val="none"/>
                <w:lang w:val="en-US" w:eastAsia="zh-CN"/>
              </w:rPr>
              <w:t>（套）</w:t>
            </w:r>
          </w:p>
        </w:tc>
        <w:tc>
          <w:tcPr>
            <w:tcW w:w="1905" w:type="dxa"/>
            <w:vAlign w:val="center"/>
          </w:tcPr>
          <w:p w14:paraId="71D083BE">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交货地点</w:t>
            </w:r>
          </w:p>
        </w:tc>
        <w:tc>
          <w:tcPr>
            <w:tcW w:w="1260" w:type="dxa"/>
            <w:vAlign w:val="center"/>
          </w:tcPr>
          <w:p w14:paraId="3819F46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交货方式</w:t>
            </w:r>
          </w:p>
        </w:tc>
        <w:tc>
          <w:tcPr>
            <w:tcW w:w="1118" w:type="dxa"/>
            <w:vAlign w:val="center"/>
          </w:tcPr>
          <w:p w14:paraId="069BE47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highlight w:val="none"/>
                <w:lang w:val="en-US" w:eastAsia="zh-CN"/>
              </w:rPr>
            </w:pPr>
            <w:r>
              <w:rPr>
                <w:rFonts w:hint="eastAsia" w:ascii="宋体" w:hAnsi="宋体" w:cs="宋体"/>
                <w:sz w:val="24"/>
                <w:szCs w:val="28"/>
                <w:highlight w:val="none"/>
                <w:lang w:val="en-US" w:eastAsia="zh-CN"/>
              </w:rPr>
              <w:t>备注</w:t>
            </w:r>
          </w:p>
        </w:tc>
      </w:tr>
      <w:tr w14:paraId="62175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0" w:type="dxa"/>
            <w:vAlign w:val="center"/>
          </w:tcPr>
          <w:p w14:paraId="2FE53F8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1</w:t>
            </w:r>
          </w:p>
        </w:tc>
        <w:tc>
          <w:tcPr>
            <w:tcW w:w="1755" w:type="dxa"/>
            <w:vAlign w:val="center"/>
          </w:tcPr>
          <w:p w14:paraId="7A10BEC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划格器</w:t>
            </w:r>
          </w:p>
        </w:tc>
        <w:tc>
          <w:tcPr>
            <w:tcW w:w="1515" w:type="dxa"/>
            <w:vAlign w:val="center"/>
          </w:tcPr>
          <w:p w14:paraId="25B9929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1</w:t>
            </w:r>
          </w:p>
        </w:tc>
        <w:tc>
          <w:tcPr>
            <w:tcW w:w="1905" w:type="dxa"/>
            <w:vMerge w:val="restart"/>
            <w:vAlign w:val="center"/>
          </w:tcPr>
          <w:p w14:paraId="6E1F1581">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kern w:val="2"/>
                <w:sz w:val="24"/>
                <w:szCs w:val="28"/>
                <w:highlight w:val="none"/>
                <w:lang w:val="en-US" w:eastAsia="zh-CN" w:bidi="ar-SA"/>
              </w:rPr>
              <w:t>山东省济宁市诗仙路369号济宁商用车厂区</w:t>
            </w:r>
          </w:p>
        </w:tc>
        <w:tc>
          <w:tcPr>
            <w:tcW w:w="1260" w:type="dxa"/>
            <w:vMerge w:val="restart"/>
            <w:vAlign w:val="center"/>
          </w:tcPr>
          <w:p w14:paraId="14D8BCC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ascii="宋体" w:hAnsi="宋体" w:eastAsia="宋体" w:cs="宋体"/>
                <w:sz w:val="24"/>
                <w:szCs w:val="28"/>
                <w:highlight w:val="none"/>
                <w:lang w:val="en-US" w:eastAsia="zh-CN"/>
              </w:rPr>
              <w:t>交钥匙方式</w:t>
            </w:r>
          </w:p>
        </w:tc>
        <w:tc>
          <w:tcPr>
            <w:tcW w:w="1118" w:type="dxa"/>
            <w:vMerge w:val="restart"/>
            <w:vAlign w:val="center"/>
          </w:tcPr>
          <w:p w14:paraId="0CB0F3E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r>
              <w:rPr>
                <w:rFonts w:hint="eastAsia"/>
                <w:sz w:val="22"/>
                <w:szCs w:val="22"/>
                <w:highlight w:val="none"/>
                <w:lang w:val="en-US" w:eastAsia="zh-CN"/>
              </w:rPr>
              <w:t>详见标书技术要求</w:t>
            </w:r>
          </w:p>
        </w:tc>
      </w:tr>
      <w:tr w14:paraId="7D192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6DC7DBE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default" w:ascii="宋体" w:hAnsi="宋体" w:eastAsia="宋体" w:cs="宋体"/>
                <w:sz w:val="24"/>
                <w:szCs w:val="28"/>
                <w:highlight w:val="none"/>
                <w:lang w:val="en-US" w:eastAsia="zh-CN"/>
              </w:rPr>
            </w:pPr>
            <w:r>
              <w:rPr>
                <w:rFonts w:hint="eastAsia" w:ascii="宋体" w:hAnsi="宋体" w:eastAsia="宋体" w:cs="宋体"/>
                <w:sz w:val="24"/>
                <w:szCs w:val="24"/>
                <w:highlight w:val="none"/>
                <w:vertAlign w:val="baseline"/>
                <w:lang w:val="en-US" w:eastAsia="zh-CN"/>
              </w:rPr>
              <w:t>2</w:t>
            </w:r>
          </w:p>
        </w:tc>
        <w:tc>
          <w:tcPr>
            <w:tcW w:w="1755" w:type="dxa"/>
            <w:vAlign w:val="center"/>
          </w:tcPr>
          <w:p w14:paraId="11071353">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eastAsia="宋体" w:cs="宋体"/>
                <w:sz w:val="24"/>
                <w:szCs w:val="24"/>
                <w:highlight w:val="none"/>
                <w:vertAlign w:val="baseline"/>
                <w:lang w:val="en-US" w:eastAsia="zh-CN"/>
              </w:rPr>
              <w:t>漆膜测厚仪</w:t>
            </w:r>
          </w:p>
        </w:tc>
        <w:tc>
          <w:tcPr>
            <w:tcW w:w="1515" w:type="dxa"/>
            <w:vAlign w:val="center"/>
          </w:tcPr>
          <w:p w14:paraId="0AFFFAD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59F19090">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702C6D77">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92A19A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347A2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4862109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3</w:t>
            </w:r>
          </w:p>
        </w:tc>
        <w:tc>
          <w:tcPr>
            <w:tcW w:w="1755" w:type="dxa"/>
            <w:vAlign w:val="center"/>
          </w:tcPr>
          <w:p w14:paraId="722C50A2">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铅笔硬度计</w:t>
            </w:r>
          </w:p>
        </w:tc>
        <w:tc>
          <w:tcPr>
            <w:tcW w:w="1515" w:type="dxa"/>
            <w:vAlign w:val="center"/>
          </w:tcPr>
          <w:p w14:paraId="5D7A0D7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62D0A2C8">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0B6B5EF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66CA84A7">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12636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11A27C5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4</w:t>
            </w:r>
          </w:p>
        </w:tc>
        <w:tc>
          <w:tcPr>
            <w:tcW w:w="1755" w:type="dxa"/>
            <w:vAlign w:val="center"/>
          </w:tcPr>
          <w:p w14:paraId="48FA97DC">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刮板细度计</w:t>
            </w:r>
          </w:p>
        </w:tc>
        <w:tc>
          <w:tcPr>
            <w:tcW w:w="1515" w:type="dxa"/>
            <w:vAlign w:val="center"/>
          </w:tcPr>
          <w:p w14:paraId="19579CE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02AF4FA5">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4000E7A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4C545ED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r w14:paraId="5138F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 w:type="dxa"/>
            <w:vAlign w:val="center"/>
          </w:tcPr>
          <w:p w14:paraId="6B5A569F">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cs="宋体"/>
                <w:sz w:val="24"/>
                <w:szCs w:val="28"/>
                <w:highlight w:val="none"/>
                <w:lang w:val="en-US" w:eastAsia="zh-CN"/>
              </w:rPr>
            </w:pPr>
            <w:r>
              <w:rPr>
                <w:rFonts w:hint="eastAsia" w:ascii="宋体" w:hAnsi="宋体" w:cs="宋体"/>
                <w:sz w:val="24"/>
                <w:szCs w:val="24"/>
                <w:highlight w:val="none"/>
                <w:vertAlign w:val="baseline"/>
                <w:lang w:val="en-US" w:eastAsia="zh-CN"/>
              </w:rPr>
              <w:t>5</w:t>
            </w:r>
          </w:p>
        </w:tc>
        <w:tc>
          <w:tcPr>
            <w:tcW w:w="1755" w:type="dxa"/>
            <w:vAlign w:val="center"/>
          </w:tcPr>
          <w:p w14:paraId="56EBB07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粗糙度仪</w:t>
            </w:r>
          </w:p>
        </w:tc>
        <w:tc>
          <w:tcPr>
            <w:tcW w:w="1515" w:type="dxa"/>
            <w:vAlign w:val="center"/>
          </w:tcPr>
          <w:p w14:paraId="7C98A3C4">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hAnsi="宋体" w:cs="宋体"/>
                <w:kern w:val="2"/>
                <w:sz w:val="24"/>
                <w:szCs w:val="28"/>
                <w:highlight w:val="none"/>
                <w:lang w:val="en-US" w:eastAsia="zh-CN" w:bidi="ar-SA"/>
              </w:rPr>
            </w:pPr>
            <w:r>
              <w:rPr>
                <w:rFonts w:hint="eastAsia" w:ascii="宋体" w:hAnsi="宋体" w:cs="宋体"/>
                <w:sz w:val="24"/>
                <w:szCs w:val="24"/>
                <w:highlight w:val="none"/>
                <w:vertAlign w:val="baseline"/>
                <w:lang w:val="en-US" w:eastAsia="zh-CN"/>
              </w:rPr>
              <w:t>1</w:t>
            </w:r>
          </w:p>
        </w:tc>
        <w:tc>
          <w:tcPr>
            <w:tcW w:w="1905" w:type="dxa"/>
            <w:vMerge w:val="continue"/>
            <w:vAlign w:val="center"/>
          </w:tcPr>
          <w:p w14:paraId="67A4DB6D">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highlight w:val="none"/>
                <w:lang w:val="en-US" w:eastAsia="zh-CN" w:bidi="ar-SA"/>
              </w:rPr>
            </w:pPr>
          </w:p>
        </w:tc>
        <w:tc>
          <w:tcPr>
            <w:tcW w:w="1260" w:type="dxa"/>
            <w:vMerge w:val="continue"/>
            <w:vAlign w:val="center"/>
          </w:tcPr>
          <w:p w14:paraId="1FE5771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c>
          <w:tcPr>
            <w:tcW w:w="1118" w:type="dxa"/>
            <w:vMerge w:val="continue"/>
            <w:vAlign w:val="center"/>
          </w:tcPr>
          <w:p w14:paraId="5D7F00E3">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highlight w:val="none"/>
                <w:lang w:val="en-US" w:eastAsia="zh-CN"/>
              </w:rPr>
            </w:pP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68"/>
      <w:bookmarkEnd w:id="69"/>
      <w:bookmarkStart w:id="70" w:name="_Toc328489370"/>
      <w:bookmarkStart w:id="71" w:name="_Toc328489324"/>
    </w:p>
    <w:bookmarkEnd w:id="70"/>
    <w:bookmarkEnd w:id="71"/>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2" w:name="_Toc328489326"/>
      <w:bookmarkStart w:id="73" w:name="_Toc328489372"/>
      <w:r>
        <w:rPr>
          <w:rFonts w:hint="eastAsia" w:ascii="宋体" w:hAnsi="宋体"/>
          <w:b/>
          <w:sz w:val="24"/>
        </w:rPr>
        <w:t>三、安装调试、设备验收</w:t>
      </w:r>
      <w:bookmarkEnd w:id="72"/>
      <w:bookmarkEnd w:id="73"/>
    </w:p>
    <w:p w14:paraId="6E809A36">
      <w:pPr>
        <w:spacing w:line="360" w:lineRule="auto"/>
        <w:ind w:firstLine="480" w:firstLineChars="200"/>
        <w:rPr>
          <w:rFonts w:hint="eastAsia" w:ascii="宋体" w:hAnsi="宋体"/>
          <w:sz w:val="24"/>
        </w:rPr>
      </w:pPr>
      <w:bookmarkStart w:id="74" w:name="_Toc328489327"/>
      <w:bookmarkStart w:id="75" w:name="_Toc328489373"/>
      <w:r>
        <w:rPr>
          <w:rFonts w:hint="eastAsia" w:ascii="宋体" w:hAnsi="宋体"/>
          <w:sz w:val="24"/>
        </w:rPr>
        <w:t>3.1 安装调试</w:t>
      </w:r>
      <w:bookmarkEnd w:id="74"/>
      <w:bookmarkEnd w:id="75"/>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76" w:name="_Toc328489374"/>
      <w:bookmarkStart w:id="77" w:name="_Toc328489328"/>
      <w:bookmarkStart w:id="78" w:name="_Toc266518524"/>
      <w:bookmarkStart w:id="79" w:name="_Toc298248794"/>
      <w:r>
        <w:rPr>
          <w:rFonts w:hint="eastAsia" w:ascii="宋体" w:hAnsi="宋体"/>
          <w:sz w:val="24"/>
        </w:rPr>
        <w:t>3.2 项目验收</w:t>
      </w:r>
      <w:bookmarkEnd w:id="76"/>
      <w:bookmarkEnd w:id="77"/>
      <w:bookmarkEnd w:id="78"/>
      <w:bookmarkEnd w:id="79"/>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0" w:name="_Toc328489329"/>
      <w:bookmarkStart w:id="81" w:name="_Toc328489375"/>
      <w:r>
        <w:rPr>
          <w:rFonts w:hint="eastAsia" w:ascii="宋体" w:hAnsi="宋体"/>
          <w:b/>
          <w:sz w:val="24"/>
        </w:rPr>
        <w:t>四、技术要求、技术培训、陪伴生产及售后服务</w:t>
      </w:r>
      <w:bookmarkEnd w:id="80"/>
      <w:bookmarkEnd w:id="81"/>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2" w:name="_Toc328489330"/>
      <w:bookmarkStart w:id="83" w:name="_Toc328489376"/>
      <w:r>
        <w:rPr>
          <w:rFonts w:hint="eastAsia" w:ascii="宋体" w:hAnsi="宋体"/>
          <w:b/>
          <w:sz w:val="24"/>
        </w:rPr>
        <w:t>五、随机提供资料及备件</w:t>
      </w:r>
      <w:bookmarkEnd w:id="82"/>
      <w:bookmarkEnd w:id="83"/>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5"/>
    <w:p w14:paraId="130D0D9E">
      <w:pPr>
        <w:pStyle w:val="2"/>
        <w:keepNext w:val="0"/>
        <w:keepLines w:val="0"/>
        <w:pageBreakBefore w:val="0"/>
        <w:widowControl w:val="0"/>
        <w:kinsoku/>
        <w:wordWrap/>
        <w:overflowPunct/>
        <w:topLinePunct w:val="0"/>
        <w:autoSpaceDE/>
        <w:autoSpaceDN/>
        <w:bidi w:val="0"/>
        <w:ind w:left="0" w:leftChars="0" w:firstLine="0" w:firstLineChars="0"/>
        <w:jc w:val="center"/>
        <w:textAlignment w:val="auto"/>
        <w:rPr>
          <w:rStyle w:val="46"/>
          <w:b/>
          <w:bCs/>
        </w:rPr>
      </w:pPr>
      <w:bookmarkStart w:id="84" w:name="_Toc518655787"/>
      <w:bookmarkStart w:id="85" w:name="_Toc21617"/>
      <w:bookmarkStart w:id="86" w:name="_Toc37059827"/>
      <w:bookmarkStart w:id="87" w:name="_Toc301469810"/>
      <w:bookmarkStart w:id="88" w:name="_Toc119413766"/>
      <w:r>
        <w:rPr>
          <w:rStyle w:val="46"/>
          <w:rFonts w:hint="eastAsia"/>
          <w:b/>
          <w:bCs/>
        </w:rPr>
        <w:t>第六章  设备采购合同</w:t>
      </w:r>
      <w:bookmarkEnd w:id="84"/>
    </w:p>
    <w:p w14:paraId="0C7C1B25">
      <w:pPr>
        <w:pStyle w:val="2"/>
        <w:keepNext w:val="0"/>
        <w:keepLines w:val="0"/>
        <w:pageBreakBefore w:val="0"/>
        <w:widowControl w:val="0"/>
        <w:kinsoku/>
        <w:wordWrap/>
        <w:overflowPunct/>
        <w:topLinePunct w:val="0"/>
        <w:autoSpaceDE/>
        <w:autoSpaceDN/>
        <w:bidi w:val="0"/>
        <w:ind w:firstLine="723" w:firstLineChars="200"/>
        <w:jc w:val="left"/>
        <w:textAlignment w:val="auto"/>
        <w:rPr>
          <w:rStyle w:val="46"/>
          <w:b/>
          <w:bCs/>
        </w:rPr>
      </w:pPr>
      <w:bookmarkStart w:id="89" w:name="_Toc17849"/>
      <w:r>
        <w:rPr>
          <w:rStyle w:val="46"/>
          <w:rFonts w:hint="eastAsia"/>
          <w:b/>
          <w:bCs/>
        </w:rPr>
        <w:t>（以经相关部门审核的最终签署版本为准）</w:t>
      </w:r>
      <w:bookmarkEnd w:id="85"/>
      <w:bookmarkEnd w:id="86"/>
      <w:bookmarkEnd w:id="89"/>
    </w:p>
    <w:p w14:paraId="1A6A1D4A">
      <w:pPr>
        <w:adjustRightInd w:val="0"/>
        <w:snapToGrid w:val="0"/>
        <w:spacing w:line="360" w:lineRule="auto"/>
        <w:jc w:val="left"/>
        <w:rPr>
          <w:rFonts w:hint="eastAsia" w:ascii="宋体" w:hAnsi="宋体"/>
          <w:sz w:val="20"/>
          <w:szCs w:val="20"/>
        </w:rPr>
      </w:pPr>
      <w:bookmarkStart w:id="90" w:name="_Toc283814116"/>
    </w:p>
    <w:p w14:paraId="02A389F7">
      <w:pPr>
        <w:rPr>
          <w:rFonts w:ascii="宋体" w:hAnsi="宋体"/>
          <w:b/>
          <w:sz w:val="28"/>
          <w:szCs w:val="28"/>
        </w:rPr>
      </w:pPr>
      <w:r>
        <w:rPr>
          <w:rFonts w:ascii="宋体" w:hAnsi="宋体"/>
          <w:b/>
          <w:sz w:val="28"/>
          <w:szCs w:val="28"/>
        </w:rPr>
        <w:br w:type="page"/>
      </w:r>
    </w:p>
    <w:p w14:paraId="2E51C0DA">
      <w:pPr>
        <w:spacing w:line="360" w:lineRule="auto"/>
        <w:jc w:val="center"/>
        <w:rPr>
          <w:rFonts w:ascii="方正小标宋简体" w:hAnsi="方正小标宋简体" w:eastAsia="方正小标宋简体" w:cs="方正小标宋简体"/>
          <w:w w:val="90"/>
          <w:sz w:val="56"/>
          <w:szCs w:val="56"/>
        </w:rPr>
      </w:pPr>
      <w:r>
        <w:rPr>
          <w:rFonts w:hint="eastAsia" w:ascii="方正小标宋简体" w:hAnsi="方正小标宋简体" w:eastAsia="方正小标宋简体" w:cs="方正小标宋简体"/>
          <w:w w:val="90"/>
          <w:sz w:val="56"/>
          <w:szCs w:val="56"/>
        </w:rPr>
        <w:t>设备采购合同</w:t>
      </w:r>
    </w:p>
    <w:p w14:paraId="73C613B4">
      <w:pPr>
        <w:spacing w:line="360" w:lineRule="auto"/>
        <w:jc w:val="center"/>
        <w:rPr>
          <w:rFonts w:ascii="方正小标宋简体" w:hAnsi="方正小标宋简体" w:eastAsia="方正小标宋简体" w:cs="方正小标宋简体"/>
          <w:w w:val="90"/>
          <w:sz w:val="56"/>
          <w:szCs w:val="56"/>
        </w:rPr>
      </w:pPr>
    </w:p>
    <w:p w14:paraId="54FB4EDF">
      <w:pPr>
        <w:spacing w:line="360" w:lineRule="auto"/>
        <w:jc w:val="center"/>
        <w:rPr>
          <w:rFonts w:ascii="仿宋_GB2312" w:hAnsi="仿宋_GB2312" w:eastAsia="仿宋_GB2312" w:cs="仿宋_GB2312"/>
          <w:bCs/>
          <w:sz w:val="24"/>
          <w:szCs w:val="24"/>
        </w:rPr>
      </w:pPr>
    </w:p>
    <w:p w14:paraId="64055244">
      <w:pPr>
        <w:spacing w:line="360" w:lineRule="auto"/>
        <w:jc w:val="center"/>
        <w:rPr>
          <w:rFonts w:ascii="仿宋_GB2312" w:hAnsi="仿宋_GB2312" w:eastAsia="仿宋_GB2312" w:cs="仿宋_GB2312"/>
          <w:bCs/>
          <w:sz w:val="24"/>
          <w:szCs w:val="24"/>
        </w:rPr>
      </w:pPr>
    </w:p>
    <w:p w14:paraId="4540E0C4">
      <w:pPr>
        <w:spacing w:line="360" w:lineRule="auto"/>
        <w:ind w:firstLine="2160" w:firstLineChars="900"/>
        <w:jc w:val="left"/>
        <w:rPr>
          <w:rFonts w:ascii="仿宋_GB2312" w:hAnsi="仿宋_GB2312" w:eastAsia="仿宋_GB2312" w:cs="仿宋_GB2312"/>
          <w:bCs/>
          <w:sz w:val="24"/>
          <w:szCs w:val="24"/>
        </w:rPr>
      </w:pPr>
      <w:r>
        <w:rPr>
          <w:rFonts w:hint="eastAsia" w:ascii="仿宋_GB2312" w:hAnsi="仿宋_GB2312" w:eastAsia="仿宋_GB2312" w:cs="仿宋_GB2312"/>
          <w:bCs/>
          <w:sz w:val="24"/>
          <w:szCs w:val="24"/>
        </w:rPr>
        <w:t xml:space="preserve">合同项目名称： </w:t>
      </w:r>
      <w:permStart w:id="0" w:edGrp="everyone"/>
      <w:r>
        <w:rPr>
          <w:rFonts w:hint="eastAsia" w:ascii="仿宋_GB2312" w:hAnsi="仿宋_GB2312" w:eastAsia="仿宋_GB2312" w:cs="仿宋_GB2312"/>
          <w:b/>
          <w:sz w:val="24"/>
          <w:szCs w:val="24"/>
          <w:u w:val="single"/>
        </w:rPr>
        <w:t>合同项目名称</w:t>
      </w:r>
      <w:permEnd w:id="0"/>
    </w:p>
    <w:p w14:paraId="105547D8">
      <w:pPr>
        <w:spacing w:line="360" w:lineRule="auto"/>
        <w:ind w:firstLine="2160" w:firstLineChars="900"/>
        <w:jc w:val="left"/>
        <w:rPr>
          <w:rFonts w:ascii="仿宋_GB2312" w:hAnsi="仿宋_GB2312" w:eastAsia="仿宋_GB2312" w:cs="仿宋_GB2312"/>
          <w:bCs/>
          <w:sz w:val="24"/>
          <w:szCs w:val="24"/>
        </w:rPr>
      </w:pPr>
    </w:p>
    <w:p w14:paraId="2D07ED82">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甲方（买方）：</w:t>
      </w:r>
      <w:permStart w:id="1" w:edGrp="everyone"/>
      <w:r>
        <w:rPr>
          <w:rFonts w:hint="eastAsia" w:ascii="仿宋_GB2312" w:hAnsi="仿宋_GB2312" w:eastAsia="仿宋_GB2312" w:cs="仿宋_GB2312"/>
          <w:b/>
          <w:sz w:val="24"/>
          <w:szCs w:val="24"/>
          <w:u w:val="single"/>
        </w:rPr>
        <w:t>甲方单位全称</w:t>
      </w:r>
      <w:permEnd w:id="1"/>
    </w:p>
    <w:p w14:paraId="61757483">
      <w:pPr>
        <w:spacing w:line="360" w:lineRule="auto"/>
        <w:ind w:firstLine="2168" w:firstLineChars="900"/>
        <w:jc w:val="left"/>
        <w:rPr>
          <w:rFonts w:ascii="仿宋_GB2312" w:hAnsi="仿宋_GB2312" w:eastAsia="仿宋_GB2312" w:cs="仿宋_GB2312"/>
          <w:b/>
          <w:sz w:val="24"/>
          <w:szCs w:val="24"/>
          <w:u w:val="single"/>
        </w:rPr>
      </w:pPr>
    </w:p>
    <w:p w14:paraId="7E937864">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乙方（卖方）：</w:t>
      </w:r>
      <w:permStart w:id="2" w:edGrp="everyone"/>
      <w:r>
        <w:rPr>
          <w:rFonts w:hint="eastAsia" w:ascii="仿宋_GB2312" w:hAnsi="仿宋_GB2312" w:eastAsia="仿宋_GB2312" w:cs="仿宋_GB2312"/>
          <w:b/>
          <w:sz w:val="24"/>
          <w:szCs w:val="24"/>
          <w:u w:val="single"/>
        </w:rPr>
        <w:t>乙方单位全称</w:t>
      </w:r>
      <w:permEnd w:id="2"/>
    </w:p>
    <w:p w14:paraId="0B879477">
      <w:pPr>
        <w:spacing w:line="360" w:lineRule="auto"/>
        <w:ind w:firstLine="2168" w:firstLineChars="900"/>
        <w:jc w:val="center"/>
        <w:rPr>
          <w:rFonts w:ascii="仿宋_GB2312" w:hAnsi="仿宋_GB2312" w:eastAsia="仿宋_GB2312" w:cs="仿宋_GB2312"/>
          <w:b/>
          <w:sz w:val="24"/>
          <w:szCs w:val="24"/>
          <w:u w:val="single"/>
        </w:rPr>
      </w:pPr>
    </w:p>
    <w:p w14:paraId="21A7E5B5">
      <w:pPr>
        <w:spacing w:line="360" w:lineRule="auto"/>
        <w:ind w:firstLine="2168" w:firstLineChars="900"/>
        <w:jc w:val="center"/>
        <w:rPr>
          <w:rFonts w:ascii="仿宋_GB2312" w:hAnsi="仿宋_GB2312" w:eastAsia="仿宋_GB2312" w:cs="仿宋_GB2312"/>
          <w:b/>
          <w:sz w:val="24"/>
          <w:szCs w:val="24"/>
          <w:u w:val="single"/>
        </w:rPr>
      </w:pPr>
    </w:p>
    <w:p w14:paraId="5C472D0A">
      <w:pPr>
        <w:spacing w:line="360" w:lineRule="auto"/>
        <w:ind w:firstLine="2160" w:firstLineChars="900"/>
        <w:jc w:val="left"/>
        <w:rPr>
          <w:rFonts w:ascii="仿宋_GB2312" w:hAnsi="仿宋_GB2312" w:eastAsia="仿宋_GB2312" w:cs="仿宋_GB2312"/>
          <w:b/>
          <w:sz w:val="24"/>
          <w:szCs w:val="24"/>
          <w:u w:val="single"/>
        </w:rPr>
      </w:pPr>
      <w:r>
        <w:rPr>
          <w:rFonts w:hint="eastAsia" w:ascii="仿宋_GB2312" w:hAnsi="仿宋_GB2312" w:eastAsia="仿宋_GB2312" w:cs="仿宋_GB2312"/>
          <w:bCs/>
          <w:sz w:val="24"/>
          <w:szCs w:val="24"/>
        </w:rPr>
        <w:t>合同签订地点：</w:t>
      </w:r>
      <w:permStart w:id="3" w:edGrp="everyone"/>
      <w:r>
        <w:rPr>
          <w:rFonts w:hint="eastAsia" w:ascii="仿宋_GB2312" w:hAnsi="仿宋_GB2312" w:eastAsia="仿宋_GB2312" w:cs="仿宋_GB2312"/>
          <w:b/>
          <w:sz w:val="24"/>
          <w:szCs w:val="24"/>
          <w:u w:val="single"/>
        </w:rPr>
        <w:t>填写甲方所在县级行政区划，如“山东省济南市高新区/章丘区”等</w:t>
      </w:r>
      <w:permEnd w:id="3"/>
    </w:p>
    <w:p w14:paraId="373C71FD">
      <w:pPr>
        <w:spacing w:line="360" w:lineRule="auto"/>
        <w:ind w:firstLine="2160" w:firstLineChars="900"/>
        <w:jc w:val="left"/>
        <w:rPr>
          <w:rFonts w:ascii="仿宋_GB2312" w:hAnsi="仿宋_GB2312" w:eastAsia="仿宋_GB2312" w:cs="仿宋_GB2312"/>
          <w:bCs/>
          <w:sz w:val="24"/>
          <w:szCs w:val="24"/>
        </w:rPr>
      </w:pPr>
    </w:p>
    <w:p w14:paraId="15AA8D4E">
      <w:pPr>
        <w:spacing w:line="360" w:lineRule="auto"/>
        <w:ind w:firstLine="2160" w:firstLineChars="900"/>
        <w:jc w:val="left"/>
        <w:rPr>
          <w:rFonts w:ascii="仿宋_GB2312" w:hAnsi="仿宋_GB2312" w:eastAsia="仿宋_GB2312" w:cs="仿宋_GB2312"/>
          <w:b/>
          <w:sz w:val="24"/>
          <w:szCs w:val="24"/>
          <w:u w:val="single"/>
        </w:rPr>
        <w:sectPr>
          <w:footerReference r:id="rId7" w:type="default"/>
          <w:pgSz w:w="11907" w:h="16840"/>
          <w:pgMar w:top="1304" w:right="1418" w:bottom="1304" w:left="1418" w:header="724" w:footer="851" w:gutter="0"/>
          <w:pgNumType w:start="1"/>
          <w:cols w:space="720" w:num="1"/>
          <w:docGrid w:linePitch="290" w:charSpace="-3931"/>
        </w:sectPr>
      </w:pPr>
      <w:r>
        <w:rPr>
          <w:rFonts w:hint="eastAsia" w:ascii="仿宋_GB2312" w:hAnsi="仿宋_GB2312" w:eastAsia="仿宋_GB2312" w:cs="仿宋_GB2312"/>
          <w:bCs/>
          <w:sz w:val="24"/>
          <w:szCs w:val="24"/>
        </w:rPr>
        <w:t>合同签订时间：</w:t>
      </w:r>
      <w:permStart w:id="4" w:edGrp="everyone"/>
      <w:r>
        <w:rPr>
          <w:rFonts w:hint="eastAsia" w:ascii="仿宋_GB2312" w:hAnsi="仿宋_GB2312" w:eastAsia="仿宋_GB2312" w:cs="仿宋_GB2312"/>
          <w:b/>
          <w:sz w:val="24"/>
          <w:szCs w:val="24"/>
          <w:u w:val="single"/>
        </w:rPr>
        <w:t>按****年**月**日形式据实填写</w:t>
      </w:r>
      <w:permEnd w:id="4"/>
    </w:p>
    <w:p w14:paraId="44DFE2C4">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447E4074">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专用条款</w:t>
      </w:r>
    </w:p>
    <w:p w14:paraId="3D0E67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鉴于，买方向卖方购买</w:t>
      </w:r>
      <w:permStart w:id="5" w:edGrp="everyone"/>
      <w:r>
        <w:rPr>
          <w:rFonts w:hint="eastAsia" w:ascii="仿宋_GB2312" w:hAnsi="仿宋_GB2312" w:eastAsia="仿宋_GB2312" w:cs="仿宋_GB2312"/>
          <w:b/>
          <w:bCs/>
          <w:sz w:val="24"/>
          <w:szCs w:val="24"/>
          <w:u w:val="single"/>
        </w:rPr>
        <w:t>设备名称概括</w:t>
      </w:r>
      <w:permEnd w:id="5"/>
      <w:r>
        <w:rPr>
          <w:rFonts w:hint="eastAsia" w:ascii="仿宋_GB2312" w:hAnsi="仿宋_GB2312" w:eastAsia="仿宋_GB2312" w:cs="仿宋_GB2312"/>
          <w:sz w:val="24"/>
          <w:szCs w:val="24"/>
          <w:u w:val="single"/>
        </w:rPr>
        <w:t>等</w:t>
      </w:r>
      <w:r>
        <w:rPr>
          <w:rFonts w:hint="eastAsia" w:ascii="仿宋_GB2312" w:hAnsi="仿宋_GB2312" w:eastAsia="仿宋_GB2312" w:cs="仿宋_GB2312"/>
          <w:sz w:val="24"/>
          <w:szCs w:val="24"/>
        </w:rPr>
        <w:t>，就该设备的设计、制造、运输、定点卸货、安装或指导安装、调试、验收、培训及售后服务等有关问题，在自愿协商的基础上达成本合同。</w:t>
      </w:r>
    </w:p>
    <w:p w14:paraId="468C80F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1.合同设备标的</w:t>
      </w:r>
    </w:p>
    <w:p w14:paraId="2083730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1.1合同总价：为共同完成</w:t>
      </w:r>
      <w:permStart w:id="6" w:edGrp="everyone"/>
      <w:r>
        <w:rPr>
          <w:rFonts w:hint="eastAsia" w:ascii="仿宋_GB2312" w:hAnsi="仿宋_GB2312" w:eastAsia="仿宋_GB2312" w:cs="仿宋_GB2312"/>
          <w:b/>
          <w:bCs/>
          <w:sz w:val="24"/>
          <w:szCs w:val="24"/>
          <w:u w:val="single"/>
        </w:rPr>
        <w:t>合同项目名称</w:t>
      </w:r>
      <w:permEnd w:id="6"/>
      <w:r>
        <w:rPr>
          <w:rFonts w:hint="eastAsia" w:ascii="仿宋_GB2312" w:hAnsi="仿宋_GB2312" w:eastAsia="仿宋_GB2312" w:cs="仿宋_GB2312"/>
          <w:sz w:val="24"/>
          <w:szCs w:val="24"/>
        </w:rPr>
        <w:t>，买方向卖方购买设备一宗，详见附件《设备清单明细表》，本合同不含税总价为</w:t>
      </w:r>
      <w:permStart w:id="7" w:edGrp="everyone"/>
      <w:r>
        <w:rPr>
          <w:rFonts w:hint="eastAsia" w:ascii="仿宋_GB2312" w:hAnsi="仿宋_GB2312" w:eastAsia="仿宋_GB2312" w:cs="仿宋_GB2312"/>
          <w:b/>
          <w:bCs/>
          <w:sz w:val="24"/>
          <w:szCs w:val="24"/>
          <w:u w:val="single"/>
        </w:rPr>
        <w:t>不含税总价小写，数值，小数点后保留两位</w:t>
      </w:r>
      <w:permEnd w:id="7"/>
      <w:r>
        <w:rPr>
          <w:rFonts w:hint="eastAsia" w:ascii="仿宋_GB2312" w:hAnsi="仿宋_GB2312" w:eastAsia="仿宋_GB2312" w:cs="仿宋_GB2312"/>
          <w:sz w:val="24"/>
          <w:szCs w:val="24"/>
        </w:rPr>
        <w:t>元，税额</w:t>
      </w:r>
      <w:permStart w:id="8" w:edGrp="everyone"/>
      <w:r>
        <w:rPr>
          <w:rFonts w:hint="eastAsia" w:ascii="仿宋_GB2312" w:hAnsi="仿宋_GB2312" w:eastAsia="仿宋_GB2312" w:cs="仿宋_GB2312"/>
          <w:b/>
          <w:bCs/>
          <w:sz w:val="24"/>
          <w:szCs w:val="24"/>
          <w:u w:val="single"/>
        </w:rPr>
        <w:t>合计税额小写，数值，小数点后保留两位</w:t>
      </w:r>
      <w:permEnd w:id="8"/>
      <w:r>
        <w:rPr>
          <w:rFonts w:hint="eastAsia" w:ascii="仿宋_GB2312" w:hAnsi="仿宋_GB2312" w:eastAsia="仿宋_GB2312" w:cs="仿宋_GB2312"/>
          <w:sz w:val="24"/>
          <w:szCs w:val="24"/>
        </w:rPr>
        <w:t>元，含税总价</w:t>
      </w:r>
      <w:permStart w:id="9" w:edGrp="everyone"/>
      <w:r>
        <w:rPr>
          <w:rFonts w:hint="eastAsia" w:ascii="仿宋_GB2312" w:hAnsi="仿宋_GB2312" w:eastAsia="仿宋_GB2312" w:cs="仿宋_GB2312"/>
          <w:b/>
          <w:bCs/>
          <w:sz w:val="24"/>
          <w:szCs w:val="24"/>
          <w:u w:val="single"/>
        </w:rPr>
        <w:t>含税总价小写，数值，小数点后保留两位</w:t>
      </w:r>
      <w:permEnd w:id="9"/>
      <w:r>
        <w:rPr>
          <w:rFonts w:hint="eastAsia" w:ascii="仿宋_GB2312" w:hAnsi="仿宋_GB2312" w:eastAsia="仿宋_GB2312" w:cs="仿宋_GB2312"/>
          <w:sz w:val="24"/>
          <w:szCs w:val="24"/>
        </w:rPr>
        <w:t>元（大写：</w:t>
      </w:r>
      <w:permStart w:id="10" w:edGrp="everyone"/>
      <w:r>
        <w:rPr>
          <w:rFonts w:hint="eastAsia" w:ascii="仿宋_GB2312" w:hAnsi="仿宋_GB2312" w:eastAsia="仿宋_GB2312" w:cs="仿宋_GB2312"/>
          <w:b/>
          <w:bCs/>
          <w:sz w:val="24"/>
          <w:szCs w:val="24"/>
          <w:u w:val="single"/>
        </w:rPr>
        <w:t>含税总价大写</w:t>
      </w:r>
      <w:permEnd w:id="10"/>
      <w:r>
        <w:rPr>
          <w:rFonts w:hint="eastAsia" w:ascii="仿宋_GB2312" w:hAnsi="仿宋_GB2312" w:eastAsia="仿宋_GB2312" w:cs="仿宋_GB2312"/>
          <w:sz w:val="24"/>
          <w:szCs w:val="24"/>
        </w:rPr>
        <w:t>）。</w:t>
      </w:r>
    </w:p>
    <w:p w14:paraId="327B6753">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rPr>
        <w:t>1.2交货方式</w:t>
      </w:r>
      <w:r>
        <w:rPr>
          <w:rFonts w:hint="eastAsia" w:ascii="仿宋_GB2312" w:eastAsia="仿宋_GB2312" w:hAnsiTheme="minorEastAsia" w:cstheme="minorEastAsia"/>
          <w:bCs/>
          <w:sz w:val="24"/>
          <w:szCs w:val="24"/>
        </w:rPr>
        <w:t>：</w:t>
      </w:r>
      <w:permStart w:id="11" w:edGrp="everyone"/>
      <w:r>
        <w:rPr>
          <w:rFonts w:hint="eastAsia" w:ascii="仿宋_GB2312" w:hAnsi="宋体" w:eastAsia="仿宋_GB2312"/>
          <w:b/>
          <w:bCs/>
          <w:sz w:val="24"/>
          <w:szCs w:val="24"/>
          <w:u w:val="single"/>
        </w:rPr>
        <w:t>据实选择，可填写“交钥匙方式”“指定地点交货”“自提”任一方式，其他情况请据实填写</w:t>
      </w:r>
      <w:permEnd w:id="11"/>
      <w:r>
        <w:rPr>
          <w:rFonts w:hint="eastAsia" w:ascii="仿宋_GB2312" w:hAnsi="宋体" w:eastAsia="仿宋_GB2312"/>
          <w:b/>
          <w:bCs/>
          <w:sz w:val="24"/>
          <w:szCs w:val="24"/>
          <w:u w:val="single"/>
        </w:rPr>
        <w:t>。</w:t>
      </w:r>
    </w:p>
    <w:p w14:paraId="124EEBD2">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1.3交货地点：</w:t>
      </w:r>
      <w:permStart w:id="12" w:edGrp="everyone"/>
      <w:r>
        <w:rPr>
          <w:rFonts w:hint="eastAsia" w:ascii="仿宋_GB2312" w:eastAsia="仿宋_GB2312" w:hAnsiTheme="minorEastAsia" w:cstheme="minorEastAsia"/>
          <w:b/>
          <w:bCs/>
          <w:sz w:val="24"/>
          <w:szCs w:val="24"/>
          <w:u w:val="single"/>
        </w:rPr>
        <w:t>交货详细地址信息，除列明省市县/区外，应填写至不致产生歧义的具体位置指向</w:t>
      </w:r>
      <w:permEnd w:id="12"/>
      <w:r>
        <w:rPr>
          <w:rFonts w:hint="eastAsia" w:ascii="仿宋_GB2312" w:eastAsia="仿宋_GB2312" w:hAnsiTheme="minorEastAsia" w:cstheme="minorEastAsia"/>
          <w:b/>
          <w:bCs/>
          <w:sz w:val="24"/>
          <w:szCs w:val="24"/>
          <w:u w:val="single"/>
        </w:rPr>
        <w:t>。</w:t>
      </w:r>
      <w:r>
        <w:rPr>
          <w:rFonts w:hint="eastAsia" w:ascii="仿宋_GB2312" w:eastAsia="仿宋_GB2312" w:hAnsiTheme="minorEastAsia" w:cstheme="minorEastAsia"/>
          <w:sz w:val="24"/>
          <w:szCs w:val="24"/>
        </w:rPr>
        <w:t xml:space="preserve">    </w:t>
      </w:r>
    </w:p>
    <w:p w14:paraId="4BB0D821">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rPr>
        <w:t>1.4到货时间：</w:t>
      </w:r>
      <w:permStart w:id="13" w:edGrp="everyone"/>
      <w:r>
        <w:rPr>
          <w:rFonts w:hint="eastAsia" w:ascii="仿宋_GB2312" w:eastAsia="仿宋_GB2312" w:hAnsiTheme="minorEastAsia" w:cstheme="minorEastAsia"/>
          <w:b/>
          <w:bCs/>
          <w:sz w:val="24"/>
          <w:szCs w:val="24"/>
          <w:u w:val="single"/>
        </w:rPr>
        <w:t>填写具体年月日。存在分批次到货情形的，填写“详见特殊条款约定”，须于专用条款第4条特殊约定条款特别约定</w:t>
      </w:r>
      <w:permEnd w:id="13"/>
      <w:r>
        <w:rPr>
          <w:rFonts w:hint="eastAsia" w:ascii="仿宋_GB2312" w:eastAsia="仿宋_GB2312" w:hAnsiTheme="minorEastAsia" w:cstheme="minorEastAsia"/>
          <w:b/>
          <w:bCs/>
          <w:sz w:val="24"/>
          <w:szCs w:val="24"/>
          <w:u w:val="single"/>
        </w:rPr>
        <w:t>。</w:t>
      </w:r>
    </w:p>
    <w:p w14:paraId="62BEE335">
      <w:pPr>
        <w:pStyle w:val="11"/>
        <w:spacing w:after="0" w:line="360" w:lineRule="auto"/>
        <w:ind w:firstLine="480" w:firstLineChars="200"/>
        <w:rPr>
          <w:rFonts w:ascii="仿宋_GB2312" w:eastAsia="仿宋_GB2312" w:hAnsiTheme="minorEastAsia" w:cstheme="minorEastAsia"/>
          <w:kern w:val="2"/>
          <w:sz w:val="24"/>
          <w:szCs w:val="24"/>
        </w:rPr>
      </w:pPr>
      <w:r>
        <w:rPr>
          <w:rFonts w:hint="eastAsia" w:ascii="仿宋_GB2312" w:eastAsia="仿宋_GB2312" w:hAnsiTheme="minorEastAsia" w:cstheme="minorEastAsia"/>
          <w:kern w:val="2"/>
          <w:sz w:val="24"/>
          <w:szCs w:val="24"/>
        </w:rPr>
        <w:t>1.5</w:t>
      </w:r>
      <w:r>
        <w:rPr>
          <w:rFonts w:ascii="仿宋_GB2312" w:eastAsia="仿宋_GB2312" w:hAnsiTheme="minorEastAsia" w:cstheme="minorEastAsia"/>
          <w:kern w:val="2"/>
          <w:sz w:val="24"/>
          <w:szCs w:val="24"/>
        </w:rPr>
        <w:t xml:space="preserve"> </w:t>
      </w:r>
      <w:r>
        <w:rPr>
          <w:rFonts w:hint="eastAsia" w:ascii="仿宋_GB2312" w:eastAsia="仿宋_GB2312" w:hAnsiTheme="minorEastAsia" w:cstheme="minorEastAsia"/>
          <w:kern w:val="2"/>
          <w:sz w:val="24"/>
          <w:szCs w:val="24"/>
        </w:rPr>
        <w:t>安装调试时长：</w:t>
      </w:r>
      <w:r>
        <w:rPr>
          <w:rFonts w:ascii="仿宋_GB2312" w:eastAsia="仿宋_GB2312" w:hAnsiTheme="minorEastAsia" w:cstheme="minorEastAsia"/>
          <w:kern w:val="2"/>
          <w:sz w:val="24"/>
          <w:szCs w:val="24"/>
        </w:rPr>
        <w:t>卖方须在到货后</w:t>
      </w:r>
      <w:permStart w:id="14" w:edGrp="everyone"/>
      <w:r>
        <w:rPr>
          <w:rFonts w:hint="eastAsia" w:ascii="仿宋_GB2312" w:eastAsia="仿宋_GB2312" w:hAnsiTheme="minorEastAsia" w:cstheme="minorEastAsia"/>
          <w:b/>
          <w:bCs/>
          <w:sz w:val="24"/>
          <w:szCs w:val="24"/>
          <w:u w:val="single"/>
        </w:rPr>
        <w:t>填写时长，单位“日历日”。存在分批次安装调试情形的，填写“详见特殊条款约定”，须于专用条款第4条特殊约定条款特别约定</w:t>
      </w:r>
      <w:permEnd w:id="14"/>
      <w:r>
        <w:rPr>
          <w:rFonts w:hint="eastAsia" w:ascii="仿宋_GB2312" w:eastAsia="仿宋_GB2312" w:hAnsiTheme="minorEastAsia" w:cstheme="minorEastAsia"/>
          <w:sz w:val="24"/>
          <w:szCs w:val="24"/>
        </w:rPr>
        <w:t>个日历日</w:t>
      </w:r>
      <w:r>
        <w:rPr>
          <w:rFonts w:hint="eastAsia" w:ascii="仿宋_GB2312" w:eastAsia="仿宋_GB2312" w:hAnsiTheme="minorEastAsia" w:cstheme="minorEastAsia"/>
          <w:kern w:val="2"/>
          <w:sz w:val="24"/>
          <w:szCs w:val="24"/>
        </w:rPr>
        <w:t>内完成设备安装，安装完成后</w:t>
      </w:r>
      <w:permStart w:id="15" w:edGrp="everyone"/>
      <w:r>
        <w:rPr>
          <w:rFonts w:hint="eastAsia" w:ascii="仿宋_GB2312" w:eastAsia="仿宋_GB2312" w:hAnsiTheme="minorEastAsia" w:cstheme="minorEastAsia"/>
          <w:b/>
          <w:bCs/>
          <w:sz w:val="24"/>
          <w:szCs w:val="24"/>
          <w:u w:val="single"/>
        </w:rPr>
        <w:t>填写时长，单位“日历日”。存在分批次调试情形的，填写“详见特殊条款约定”，须于专用条款第4条特殊约定条款特别约定</w:t>
      </w:r>
      <w:permEnd w:id="15"/>
      <w:r>
        <w:rPr>
          <w:rFonts w:hint="eastAsia" w:ascii="仿宋_GB2312" w:eastAsia="仿宋_GB2312" w:hAnsiTheme="minorEastAsia" w:cstheme="minorEastAsia"/>
          <w:kern w:val="2"/>
          <w:sz w:val="24"/>
          <w:szCs w:val="24"/>
        </w:rPr>
        <w:t>日历日内完成设备调试。</w:t>
      </w:r>
    </w:p>
    <w:p w14:paraId="67CF9EB1">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1.6调试消耗产品数量：</w:t>
      </w:r>
      <w:r>
        <w:rPr>
          <w:rFonts w:ascii="仿宋_GB2312" w:eastAsia="仿宋_GB2312" w:hAnsiTheme="minorEastAsia" w:cstheme="minorEastAsia"/>
          <w:sz w:val="24"/>
          <w:szCs w:val="24"/>
        </w:rPr>
        <w:t>若设备安装、调试过程中需使用买方产品的，买方提供调试所用产品数量</w:t>
      </w:r>
      <w:permStart w:id="16" w:edGrp="everyone"/>
      <w:r>
        <w:rPr>
          <w:rFonts w:hint="eastAsia" w:ascii="仿宋_GB2312" w:eastAsia="仿宋_GB2312" w:hAnsiTheme="minorEastAsia" w:cstheme="minorEastAsia"/>
          <w:b/>
          <w:bCs/>
          <w:sz w:val="24"/>
          <w:szCs w:val="24"/>
          <w:u w:val="single"/>
        </w:rPr>
        <w:t>甲方提供调试产品的件数，不需要的，此处填写“0”</w:t>
      </w:r>
      <w:permEnd w:id="16"/>
      <w:r>
        <w:rPr>
          <w:rFonts w:ascii="仿宋_GB2312" w:eastAsia="仿宋_GB2312" w:hAnsiTheme="minorEastAsia" w:cstheme="minorEastAsia"/>
          <w:sz w:val="24"/>
          <w:szCs w:val="24"/>
        </w:rPr>
        <w:t>件，超出此数量部分由卖方提供，由此产生的相关费用由卖方承担。</w:t>
      </w:r>
    </w:p>
    <w:p w14:paraId="0262A10D">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1.7设备质量保证期：自最终验收报告签署之日（存在分批次到货安装调试情形的，以验收报告签署日期最晚者为准）起</w:t>
      </w:r>
      <w:permStart w:id="17" w:edGrp="everyone"/>
      <w:r>
        <w:rPr>
          <w:rFonts w:hint="eastAsia" w:ascii="仿宋_GB2312" w:eastAsia="仿宋_GB2312" w:hAnsiTheme="minorEastAsia" w:cstheme="minorEastAsia"/>
          <w:b/>
          <w:bCs/>
          <w:sz w:val="24"/>
          <w:szCs w:val="24"/>
          <w:u w:val="single"/>
        </w:rPr>
        <w:t>卖方承诺的质保期月数。存在分批次设备质保期约定分批次到期情形的，填写“详见特殊条款约定”，须于专用条款第4条特殊约定条款特别约定</w:t>
      </w:r>
      <w:permEnd w:id="17"/>
      <w:r>
        <w:rPr>
          <w:rFonts w:hint="eastAsia" w:ascii="仿宋_GB2312" w:eastAsia="仿宋_GB2312" w:hAnsiTheme="minorEastAsia" w:cstheme="minorEastAsia"/>
          <w:sz w:val="24"/>
          <w:szCs w:val="24"/>
        </w:rPr>
        <w:t>个月</w:t>
      </w:r>
      <w:r>
        <w:rPr>
          <w:rFonts w:hint="eastAsia" w:ascii="仿宋_GB2312" w:hAnsi="黑体" w:eastAsia="仿宋_GB2312" w:cstheme="minorEastAsia"/>
          <w:sz w:val="24"/>
          <w:szCs w:val="24"/>
        </w:rPr>
        <w:t>。</w:t>
      </w:r>
    </w:p>
    <w:p w14:paraId="48522462">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2.结算付款约定</w:t>
      </w:r>
    </w:p>
    <w:p w14:paraId="1B4A6637">
      <w:pPr>
        <w:spacing w:line="360" w:lineRule="auto"/>
        <w:ind w:firstLine="480" w:firstLineChars="200"/>
        <w:rPr>
          <w:rFonts w:ascii="仿宋_GB2312" w:hAnsi="黑体" w:eastAsia="仿宋_GB2312" w:cstheme="minorEastAsia"/>
          <w:b/>
          <w:bCs/>
          <w:sz w:val="24"/>
          <w:szCs w:val="24"/>
          <w:u w:val="single"/>
        </w:rPr>
      </w:pPr>
      <w:r>
        <w:rPr>
          <w:rFonts w:hint="eastAsia" w:ascii="仿宋_GB2312" w:hAnsi="黑体" w:eastAsia="仿宋_GB2312" w:cstheme="minorEastAsia"/>
          <w:sz w:val="24"/>
          <w:szCs w:val="24"/>
        </w:rPr>
        <w:t>2.1结算方式：</w:t>
      </w:r>
      <w:permStart w:id="18" w:edGrp="everyone"/>
      <w:r>
        <w:rPr>
          <w:rFonts w:hint="eastAsia" w:ascii="仿宋_GB2312" w:hAnsi="黑体" w:eastAsia="仿宋_GB2312" w:cstheme="minorEastAsia"/>
          <w:b/>
          <w:bCs/>
          <w:sz w:val="24"/>
          <w:szCs w:val="24"/>
          <w:u w:val="single"/>
        </w:rPr>
        <w:t>填写“</w:t>
      </w:r>
      <w:r>
        <w:rPr>
          <w:rFonts w:hint="eastAsia" w:ascii="仿宋_GB2312" w:hAnsi="宋体" w:eastAsia="仿宋_GB2312"/>
          <w:b/>
          <w:bCs/>
          <w:sz w:val="24"/>
          <w:szCs w:val="24"/>
          <w:u w:val="single"/>
        </w:rPr>
        <w:t>半年期商业汇票（包括银行承兑汇票和商业承兑汇票）</w:t>
      </w:r>
      <w:r>
        <w:rPr>
          <w:rFonts w:hint="eastAsia" w:ascii="仿宋_GB2312" w:hAnsi="黑体" w:eastAsia="仿宋_GB2312" w:cstheme="minorEastAsia"/>
          <w:b/>
          <w:bCs/>
          <w:sz w:val="24"/>
          <w:szCs w:val="24"/>
          <w:u w:val="single"/>
        </w:rPr>
        <w:t>”</w:t>
      </w:r>
      <w:r>
        <w:rPr>
          <w:rFonts w:hint="eastAsia" w:ascii="仿宋_GB2312" w:hAnsi="宋体" w:eastAsia="仿宋_GB2312"/>
          <w:b/>
          <w:bCs/>
          <w:sz w:val="24"/>
          <w:szCs w:val="24"/>
          <w:u w:val="single"/>
        </w:rPr>
        <w:t>“转账”“财司内转”三种方式</w:t>
      </w:r>
      <w:r>
        <w:rPr>
          <w:rFonts w:hint="eastAsia" w:ascii="仿宋_GB2312" w:hAnsi="黑体" w:eastAsia="仿宋_GB2312" w:cstheme="minorEastAsia"/>
          <w:b/>
          <w:bCs/>
          <w:sz w:val="24"/>
          <w:szCs w:val="24"/>
          <w:u w:val="single"/>
        </w:rPr>
        <w:t>任一种</w:t>
      </w:r>
      <w:permEnd w:id="18"/>
      <w:r>
        <w:rPr>
          <w:rFonts w:hint="eastAsia" w:ascii="仿宋_GB2312" w:hAnsi="黑体" w:eastAsia="仿宋_GB2312" w:cstheme="minorEastAsia"/>
          <w:b/>
          <w:bCs/>
          <w:sz w:val="24"/>
          <w:szCs w:val="24"/>
          <w:u w:val="single"/>
        </w:rPr>
        <w:t>。</w:t>
      </w:r>
    </w:p>
    <w:p w14:paraId="3F54BE6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2.2结算币种：本合同使用</w:t>
      </w:r>
      <w:permStart w:id="19" w:edGrp="everyone"/>
      <w:r>
        <w:rPr>
          <w:rFonts w:hint="eastAsia" w:ascii="仿宋_GB2312" w:hAnsi="仿宋_GB2312" w:eastAsia="仿宋_GB2312" w:cs="仿宋_GB2312"/>
          <w:b/>
          <w:bCs/>
          <w:sz w:val="24"/>
          <w:szCs w:val="24"/>
          <w:u w:val="single"/>
        </w:rPr>
        <w:t>币种</w:t>
      </w:r>
      <w:permEnd w:id="19"/>
      <w:r>
        <w:rPr>
          <w:rFonts w:hint="eastAsia" w:ascii="仿宋_GB2312" w:hAnsi="仿宋_GB2312" w:eastAsia="仿宋_GB2312" w:cs="仿宋_GB2312"/>
          <w:sz w:val="24"/>
          <w:szCs w:val="24"/>
        </w:rPr>
        <w:t>进行结算。</w:t>
      </w:r>
    </w:p>
    <w:p w14:paraId="4EF47A71">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2.3合同价款支付：</w:t>
      </w:r>
    </w:p>
    <w:p w14:paraId="05A9B29B">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2.3.1</w:t>
      </w:r>
      <w:permStart w:id="20" w:edGrp="everyone"/>
      <w:r>
        <w:rPr>
          <w:rFonts w:hint="eastAsia" w:ascii="仿宋_GB2312" w:hAnsi="黑体" w:eastAsia="仿宋_GB2312" w:cstheme="minorEastAsia"/>
          <w:b/>
          <w:bCs/>
          <w:sz w:val="24"/>
          <w:szCs w:val="24"/>
          <w:u w:val="single"/>
        </w:rPr>
        <w:t>填写第一笔付款的满足要件，如“设备全部到齐无质量问题”。若存在价款支付的发票及财务审核条件与本条格式条款存有变动调整的，须在</w:t>
      </w:r>
      <w:r>
        <w:rPr>
          <w:rFonts w:hint="eastAsia" w:ascii="仿宋_GB2312" w:eastAsia="仿宋_GB2312" w:hAnsiTheme="minorEastAsia" w:cstheme="minorEastAsia"/>
          <w:b/>
          <w:bCs/>
          <w:sz w:val="24"/>
          <w:szCs w:val="24"/>
          <w:u w:val="single"/>
        </w:rPr>
        <w:t>专用条款第4条</w:t>
      </w:r>
      <w:r>
        <w:rPr>
          <w:rFonts w:hint="eastAsia" w:ascii="仿宋_GB2312" w:hAnsi="黑体" w:eastAsia="仿宋_GB2312" w:cstheme="minorEastAsia"/>
          <w:b/>
          <w:bCs/>
          <w:sz w:val="24"/>
          <w:szCs w:val="24"/>
          <w:u w:val="single"/>
        </w:rPr>
        <w:t>特殊约定条款中特别约定</w:t>
      </w:r>
      <w:permEnd w:id="20"/>
      <w:r>
        <w:rPr>
          <w:rFonts w:hint="eastAsia" w:ascii="仿宋_GB2312" w:hAnsi="黑体" w:eastAsia="仿宋_GB2312" w:cstheme="minorEastAsia"/>
          <w:sz w:val="24"/>
          <w:szCs w:val="24"/>
        </w:rPr>
        <w:t>, 买方收到相应金额的增值税专用发票及完整报账材料后</w:t>
      </w:r>
      <w:r>
        <w:rPr>
          <w:rFonts w:ascii="仿宋_GB2312" w:hAnsi="黑体" w:eastAsia="仿宋_GB2312" w:cstheme="minorEastAsia"/>
          <w:sz w:val="24"/>
          <w:szCs w:val="24"/>
        </w:rPr>
        <w:t>提交报账流程，财务审核通过</w:t>
      </w:r>
      <w:r>
        <w:rPr>
          <w:rFonts w:hint="eastAsia" w:ascii="仿宋_GB2312" w:hAnsi="黑体" w:eastAsia="仿宋_GB2312" w:cstheme="minorEastAsia"/>
          <w:sz w:val="24"/>
          <w:szCs w:val="24"/>
        </w:rPr>
        <w:t>后支付金额为合同含税总价款</w:t>
      </w:r>
      <w:permStart w:id="21" w:edGrp="everyone"/>
      <w:r>
        <w:rPr>
          <w:rFonts w:hint="eastAsia" w:ascii="仿宋_GB2312" w:hAnsi="黑体" w:eastAsia="仿宋_GB2312" w:cstheme="minorEastAsia"/>
          <w:b/>
          <w:bCs/>
          <w:sz w:val="24"/>
          <w:szCs w:val="24"/>
          <w:u w:val="single"/>
        </w:rPr>
        <w:t>第一笔付款的比例，数值</w:t>
      </w:r>
      <w:permEnd w:id="21"/>
      <w:r>
        <w:rPr>
          <w:rFonts w:hint="eastAsia" w:ascii="仿宋_GB2312" w:hAnsi="黑体" w:eastAsia="仿宋_GB2312" w:cstheme="minorEastAsia"/>
          <w:sz w:val="24"/>
          <w:szCs w:val="24"/>
        </w:rPr>
        <w:t>%即</w:t>
      </w:r>
      <w:permStart w:id="22" w:edGrp="everyone"/>
      <w:r>
        <w:rPr>
          <w:rFonts w:hint="eastAsia" w:ascii="仿宋_GB2312" w:hAnsi="黑体" w:eastAsia="仿宋_GB2312" w:cstheme="minorEastAsia"/>
          <w:b/>
          <w:bCs/>
          <w:sz w:val="24"/>
          <w:szCs w:val="24"/>
          <w:u w:val="single"/>
        </w:rPr>
        <w:t>第一笔付款金额</w:t>
      </w:r>
      <w:permEnd w:id="22"/>
      <w:r>
        <w:rPr>
          <w:rFonts w:hint="eastAsia" w:ascii="仿宋_GB2312" w:hAnsi="黑体" w:eastAsia="仿宋_GB2312" w:cstheme="minorEastAsia"/>
          <w:sz w:val="24"/>
          <w:szCs w:val="24"/>
        </w:rPr>
        <w:t>元</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w:t>
      </w:r>
    </w:p>
    <w:p w14:paraId="14A7CCC5">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2.3.3</w:t>
      </w:r>
      <w:permStart w:id="23" w:edGrp="everyone"/>
      <w:r>
        <w:rPr>
          <w:rFonts w:hint="eastAsia" w:ascii="仿宋_GB2312" w:hAnsi="黑体" w:eastAsia="仿宋_GB2312" w:cstheme="minorEastAsia"/>
          <w:b/>
          <w:bCs/>
          <w:sz w:val="24"/>
          <w:szCs w:val="24"/>
          <w:u w:val="single"/>
        </w:rPr>
        <w:t>填写第二笔付款的满足要件，如“设备全部到齐无质量问题，经安装、调试最终验收合格后”。若存在价款支付的发票及财务审核条件与本条格式条款存有变动调整的，须在</w:t>
      </w:r>
      <w:r>
        <w:rPr>
          <w:rFonts w:hint="eastAsia" w:ascii="仿宋_GB2312" w:eastAsia="仿宋_GB2312" w:hAnsiTheme="minorEastAsia" w:cstheme="minorEastAsia"/>
          <w:b/>
          <w:bCs/>
          <w:sz w:val="24"/>
          <w:szCs w:val="24"/>
          <w:u w:val="single"/>
        </w:rPr>
        <w:t>专用条款第4条</w:t>
      </w:r>
      <w:r>
        <w:rPr>
          <w:rFonts w:hint="eastAsia" w:ascii="仿宋_GB2312" w:hAnsi="黑体" w:eastAsia="仿宋_GB2312" w:cstheme="minorEastAsia"/>
          <w:b/>
          <w:bCs/>
          <w:sz w:val="24"/>
          <w:szCs w:val="24"/>
          <w:u w:val="single"/>
        </w:rPr>
        <w:t>特殊约定条款中特别约定</w:t>
      </w:r>
      <w:permEnd w:id="23"/>
      <w:r>
        <w:rPr>
          <w:rFonts w:hint="eastAsia" w:ascii="仿宋_GB2312" w:hAnsi="黑体" w:eastAsia="仿宋_GB2312" w:cstheme="minorEastAsia"/>
          <w:sz w:val="24"/>
          <w:szCs w:val="24"/>
        </w:rPr>
        <w:t>，买方收到合同全额增值税专用发票及完整报账材料后</w:t>
      </w:r>
      <w:r>
        <w:rPr>
          <w:rFonts w:ascii="仿宋_GB2312" w:hAnsi="黑体" w:eastAsia="仿宋_GB2312" w:cstheme="minorEastAsia"/>
          <w:sz w:val="24"/>
          <w:szCs w:val="24"/>
        </w:rPr>
        <w:t>提交报账流程，财务审核通过</w:t>
      </w:r>
      <w:r>
        <w:rPr>
          <w:rFonts w:hint="eastAsia" w:ascii="仿宋_GB2312" w:hAnsi="黑体" w:eastAsia="仿宋_GB2312" w:cstheme="minorEastAsia"/>
          <w:sz w:val="24"/>
          <w:szCs w:val="24"/>
        </w:rPr>
        <w:t>后支付金额为合同含税总价款</w:t>
      </w:r>
      <w:permStart w:id="24" w:edGrp="everyone"/>
      <w:r>
        <w:rPr>
          <w:rFonts w:hint="eastAsia" w:ascii="仿宋_GB2312" w:hAnsi="黑体" w:eastAsia="仿宋_GB2312" w:cstheme="minorEastAsia"/>
          <w:b/>
          <w:bCs/>
          <w:sz w:val="24"/>
          <w:szCs w:val="24"/>
          <w:u w:val="single"/>
        </w:rPr>
        <w:t>第二笔付款的比例，数值</w:t>
      </w:r>
      <w:permEnd w:id="24"/>
      <w:r>
        <w:rPr>
          <w:rFonts w:hint="eastAsia" w:ascii="仿宋_GB2312" w:hAnsi="黑体" w:eastAsia="仿宋_GB2312" w:cstheme="minorEastAsia"/>
          <w:sz w:val="24"/>
          <w:szCs w:val="24"/>
        </w:rPr>
        <w:t>%即</w:t>
      </w:r>
      <w:permStart w:id="25" w:edGrp="everyone"/>
      <w:r>
        <w:rPr>
          <w:rFonts w:hint="eastAsia" w:ascii="仿宋_GB2312" w:hAnsi="黑体" w:eastAsia="仿宋_GB2312" w:cstheme="minorEastAsia"/>
          <w:b/>
          <w:bCs/>
          <w:sz w:val="24"/>
          <w:szCs w:val="24"/>
          <w:u w:val="single"/>
        </w:rPr>
        <w:t>第二笔付款金额</w:t>
      </w:r>
      <w:permEnd w:id="25"/>
      <w:r>
        <w:rPr>
          <w:rFonts w:hint="eastAsia" w:ascii="仿宋_GB2312" w:hAnsi="黑体" w:eastAsia="仿宋_GB2312" w:cstheme="minorEastAsia"/>
          <w:sz w:val="24"/>
          <w:szCs w:val="24"/>
        </w:rPr>
        <w:t>元，</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w:t>
      </w:r>
    </w:p>
    <w:p w14:paraId="130A86DA">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2.3.4合同含税总价款的</w:t>
      </w:r>
      <w:permStart w:id="26" w:edGrp="everyone"/>
      <w:r>
        <w:rPr>
          <w:rFonts w:hint="eastAsia" w:ascii="仿宋_GB2312" w:hAnsi="黑体" w:eastAsia="仿宋_GB2312" w:cstheme="minorEastAsia"/>
          <w:b/>
          <w:bCs/>
          <w:sz w:val="24"/>
          <w:szCs w:val="24"/>
          <w:u w:val="single"/>
        </w:rPr>
        <w:t>第三笔付款的比例，数值</w:t>
      </w:r>
      <w:permEnd w:id="26"/>
      <w:r>
        <w:rPr>
          <w:rFonts w:hint="eastAsia" w:ascii="仿宋_GB2312" w:hAnsi="黑体" w:eastAsia="仿宋_GB2312" w:cstheme="minorEastAsia"/>
          <w:sz w:val="24"/>
          <w:szCs w:val="24"/>
        </w:rPr>
        <w:t>%即</w:t>
      </w:r>
      <w:permStart w:id="27" w:edGrp="everyone"/>
      <w:r>
        <w:rPr>
          <w:rFonts w:hint="eastAsia" w:ascii="仿宋_GB2312" w:hAnsi="黑体" w:eastAsia="仿宋_GB2312" w:cstheme="minorEastAsia"/>
          <w:b/>
          <w:bCs/>
          <w:sz w:val="24"/>
          <w:szCs w:val="24"/>
          <w:u w:val="single"/>
        </w:rPr>
        <w:t>第三笔付款金额</w:t>
      </w:r>
      <w:permEnd w:id="27"/>
      <w:r>
        <w:rPr>
          <w:rFonts w:hint="eastAsia" w:ascii="仿宋_GB2312" w:hAnsi="黑体" w:eastAsia="仿宋_GB2312" w:cstheme="minorEastAsia"/>
          <w:sz w:val="24"/>
          <w:szCs w:val="24"/>
        </w:rPr>
        <w:t>元作为本合同约定设备的质量保证金，质量保证金在质量保证期内不计利息。待合同设备终验收合格后【</w:t>
      </w:r>
      <w:r>
        <w:rPr>
          <w:rFonts w:hint="eastAsia" w:ascii="仿宋_GB2312" w:hAnsi="黑体" w:eastAsia="仿宋_GB2312" w:cstheme="minorEastAsia"/>
          <w:b/>
          <w:bCs/>
          <w:sz w:val="24"/>
          <w:szCs w:val="24"/>
          <w:u w:val="single"/>
        </w:rPr>
        <w:t>按月数填写支付质量保证金的时长</w:t>
      </w:r>
      <w:r>
        <w:rPr>
          <w:rFonts w:hint="eastAsia" w:ascii="仿宋_GB2312" w:hAnsi="黑体" w:eastAsia="仿宋_GB2312" w:cstheme="minorEastAsia"/>
          <w:sz w:val="24"/>
          <w:szCs w:val="24"/>
        </w:rPr>
        <w:t>】个月，卖方向买方提交质量保证金的收款凭证及设备使用单位的使用情况说明，经买方财务审核无误后支付，</w:t>
      </w:r>
      <w:r>
        <w:rPr>
          <w:rFonts w:ascii="仿宋_GB2312" w:hAnsi="黑体" w:eastAsia="仿宋_GB2312" w:cstheme="minorEastAsia"/>
          <w:sz w:val="24"/>
          <w:szCs w:val="24"/>
        </w:rPr>
        <w:t>付款条件为发票挂账后【</w:t>
      </w:r>
      <w:r>
        <w:rPr>
          <w:rFonts w:hint="eastAsia" w:ascii="仿宋_GB2312" w:hAnsi="黑体" w:eastAsia="仿宋_GB2312" w:cstheme="minorEastAsia"/>
          <w:b/>
          <w:bCs/>
          <w:sz w:val="24"/>
          <w:szCs w:val="24"/>
          <w:u w:val="single"/>
        </w:rPr>
        <w:t>SAP付款条件，例：立即到期、30天到期等</w:t>
      </w:r>
      <w:r>
        <w:rPr>
          <w:rFonts w:ascii="仿宋_GB2312" w:hAnsi="黑体" w:eastAsia="仿宋_GB2312" w:cstheme="minorEastAsia"/>
          <w:sz w:val="24"/>
          <w:szCs w:val="24"/>
        </w:rPr>
        <w:t>】</w:t>
      </w:r>
      <w:r>
        <w:rPr>
          <w:rFonts w:hint="eastAsia" w:ascii="仿宋_GB2312" w:hAnsi="黑体" w:eastAsia="仿宋_GB2312" w:cstheme="minorEastAsia"/>
          <w:sz w:val="24"/>
          <w:szCs w:val="24"/>
        </w:rPr>
        <w:t>。如有质量问题，质量保证金予以相应扣除。</w:t>
      </w:r>
    </w:p>
    <w:p w14:paraId="1176981A">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2.4甲乙双方基本信息</w:t>
      </w:r>
    </w:p>
    <w:tbl>
      <w:tblPr>
        <w:tblStyle w:val="3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3690"/>
        <w:gridCol w:w="3690"/>
      </w:tblGrid>
      <w:tr w14:paraId="5CD14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4FEBFA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信息名目</w:t>
            </w:r>
          </w:p>
        </w:tc>
        <w:tc>
          <w:tcPr>
            <w:tcW w:w="3690" w:type="dxa"/>
            <w:vAlign w:val="bottom"/>
          </w:tcPr>
          <w:p w14:paraId="0BEE5D0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甲方基本信息</w:t>
            </w:r>
          </w:p>
        </w:tc>
        <w:tc>
          <w:tcPr>
            <w:tcW w:w="3690" w:type="dxa"/>
            <w:vAlign w:val="bottom"/>
          </w:tcPr>
          <w:p w14:paraId="7EFC6C04">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乙方基本信息</w:t>
            </w:r>
          </w:p>
        </w:tc>
      </w:tr>
      <w:tr w14:paraId="46FC2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47BE07E">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企业名称</w:t>
            </w:r>
          </w:p>
        </w:tc>
        <w:tc>
          <w:tcPr>
            <w:tcW w:w="3690" w:type="dxa"/>
            <w:vAlign w:val="bottom"/>
          </w:tcPr>
          <w:p w14:paraId="1D3F85BE">
            <w:pPr>
              <w:spacing w:after="200" w:line="360" w:lineRule="auto"/>
              <w:jc w:val="center"/>
              <w:rPr>
                <w:rFonts w:ascii="仿宋_GB2312" w:hAnsi="仿宋_GB2312" w:eastAsia="仿宋_GB2312" w:cs="仿宋_GB2312"/>
                <w:w w:val="90"/>
                <w:sz w:val="24"/>
                <w:szCs w:val="24"/>
              </w:rPr>
            </w:pPr>
            <w:permStart w:id="28" w:edGrp="everyone"/>
            <w:r>
              <w:rPr>
                <w:rFonts w:hint="eastAsia" w:ascii="仿宋_GB2312" w:hAnsi="仿宋_GB2312" w:eastAsia="仿宋_GB2312" w:cs="仿宋_GB2312"/>
                <w:b/>
                <w:bCs/>
                <w:w w:val="90"/>
                <w:sz w:val="24"/>
                <w:szCs w:val="24"/>
                <w:u w:val="single"/>
              </w:rPr>
              <w:t>甲方单位全称</w:t>
            </w:r>
            <w:permEnd w:id="28"/>
          </w:p>
        </w:tc>
        <w:tc>
          <w:tcPr>
            <w:tcW w:w="3690" w:type="dxa"/>
            <w:vAlign w:val="bottom"/>
          </w:tcPr>
          <w:p w14:paraId="5507C778">
            <w:pPr>
              <w:spacing w:after="200" w:line="360" w:lineRule="auto"/>
              <w:jc w:val="center"/>
              <w:rPr>
                <w:rFonts w:ascii="仿宋_GB2312" w:hAnsi="仿宋_GB2312" w:eastAsia="仿宋_GB2312" w:cs="仿宋_GB2312"/>
                <w:w w:val="90"/>
                <w:sz w:val="24"/>
                <w:szCs w:val="24"/>
              </w:rPr>
            </w:pPr>
            <w:permStart w:id="29" w:edGrp="everyone"/>
            <w:r>
              <w:rPr>
                <w:rFonts w:hint="eastAsia" w:ascii="仿宋_GB2312" w:hAnsi="仿宋_GB2312" w:eastAsia="仿宋_GB2312" w:cs="仿宋_GB2312"/>
                <w:b/>
                <w:bCs/>
                <w:w w:val="90"/>
                <w:sz w:val="24"/>
                <w:szCs w:val="24"/>
                <w:u w:val="single"/>
              </w:rPr>
              <w:t>乙方单位全称</w:t>
            </w:r>
            <w:permEnd w:id="29"/>
          </w:p>
        </w:tc>
      </w:tr>
      <w:tr w14:paraId="35EFF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77177B2">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注册地址</w:t>
            </w:r>
          </w:p>
        </w:tc>
        <w:tc>
          <w:tcPr>
            <w:tcW w:w="3690" w:type="dxa"/>
            <w:vAlign w:val="bottom"/>
          </w:tcPr>
          <w:p w14:paraId="6517FA37">
            <w:pPr>
              <w:spacing w:after="200" w:line="360" w:lineRule="auto"/>
              <w:jc w:val="center"/>
              <w:rPr>
                <w:rFonts w:ascii="仿宋_GB2312" w:hAnsi="仿宋_GB2312" w:eastAsia="仿宋_GB2312" w:cs="仿宋_GB2312"/>
                <w:w w:val="90"/>
                <w:sz w:val="24"/>
                <w:szCs w:val="24"/>
              </w:rPr>
            </w:pPr>
            <w:permStart w:id="30" w:edGrp="everyone"/>
            <w:r>
              <w:rPr>
                <w:rFonts w:hint="eastAsia" w:ascii="仿宋_GB2312" w:hAnsi="仿宋_GB2312" w:eastAsia="仿宋_GB2312" w:cs="仿宋_GB2312"/>
                <w:b/>
                <w:bCs/>
                <w:w w:val="90"/>
                <w:sz w:val="24"/>
                <w:szCs w:val="24"/>
                <w:u w:val="single"/>
              </w:rPr>
              <w:t>甲方注册地址，营业执照住所地</w:t>
            </w:r>
            <w:permEnd w:id="30"/>
          </w:p>
        </w:tc>
        <w:tc>
          <w:tcPr>
            <w:tcW w:w="3690" w:type="dxa"/>
            <w:vAlign w:val="bottom"/>
          </w:tcPr>
          <w:p w14:paraId="7A7407A9">
            <w:pPr>
              <w:spacing w:after="200" w:line="360" w:lineRule="auto"/>
              <w:jc w:val="center"/>
              <w:rPr>
                <w:rFonts w:ascii="仿宋_GB2312" w:hAnsi="仿宋_GB2312" w:eastAsia="仿宋_GB2312" w:cs="仿宋_GB2312"/>
                <w:w w:val="90"/>
                <w:sz w:val="24"/>
                <w:szCs w:val="24"/>
              </w:rPr>
            </w:pPr>
            <w:permStart w:id="31" w:edGrp="everyone"/>
            <w:r>
              <w:rPr>
                <w:rFonts w:hint="eastAsia" w:ascii="仿宋_GB2312" w:hAnsi="仿宋_GB2312" w:eastAsia="仿宋_GB2312" w:cs="仿宋_GB2312"/>
                <w:b/>
                <w:bCs/>
                <w:w w:val="90"/>
                <w:sz w:val="24"/>
                <w:szCs w:val="24"/>
                <w:u w:val="single"/>
              </w:rPr>
              <w:t>乙方注册地址，营业执照住所地</w:t>
            </w:r>
            <w:permEnd w:id="31"/>
          </w:p>
        </w:tc>
      </w:tr>
      <w:tr w14:paraId="01E35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BBC3BE">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通讯地址</w:t>
            </w:r>
          </w:p>
        </w:tc>
        <w:tc>
          <w:tcPr>
            <w:tcW w:w="3690" w:type="dxa"/>
            <w:vAlign w:val="bottom"/>
          </w:tcPr>
          <w:p w14:paraId="2E9402DE">
            <w:pPr>
              <w:spacing w:after="200" w:line="360" w:lineRule="auto"/>
              <w:jc w:val="center"/>
              <w:rPr>
                <w:rFonts w:ascii="仿宋_GB2312" w:hAnsi="仿宋_GB2312" w:eastAsia="仿宋_GB2312" w:cs="仿宋_GB2312"/>
                <w:w w:val="90"/>
                <w:sz w:val="24"/>
                <w:szCs w:val="24"/>
              </w:rPr>
            </w:pPr>
            <w:permStart w:id="32" w:edGrp="everyone"/>
            <w:r>
              <w:rPr>
                <w:rFonts w:hint="eastAsia" w:ascii="仿宋_GB2312" w:hAnsi="仿宋_GB2312" w:eastAsia="仿宋_GB2312" w:cs="仿宋_GB2312"/>
                <w:b/>
                <w:bCs/>
                <w:w w:val="90"/>
                <w:sz w:val="24"/>
                <w:szCs w:val="24"/>
                <w:u w:val="single"/>
              </w:rPr>
              <w:t>甲方通讯地址，实际联系地址</w:t>
            </w:r>
            <w:permEnd w:id="32"/>
          </w:p>
        </w:tc>
        <w:tc>
          <w:tcPr>
            <w:tcW w:w="3690" w:type="dxa"/>
            <w:vAlign w:val="bottom"/>
          </w:tcPr>
          <w:p w14:paraId="4254E81F">
            <w:pPr>
              <w:spacing w:after="200" w:line="360" w:lineRule="auto"/>
              <w:jc w:val="center"/>
              <w:rPr>
                <w:rFonts w:ascii="仿宋_GB2312" w:hAnsi="仿宋_GB2312" w:eastAsia="仿宋_GB2312" w:cs="仿宋_GB2312"/>
                <w:w w:val="90"/>
                <w:sz w:val="24"/>
                <w:szCs w:val="24"/>
              </w:rPr>
            </w:pPr>
            <w:permStart w:id="33" w:edGrp="everyone"/>
            <w:r>
              <w:rPr>
                <w:rFonts w:hint="eastAsia" w:ascii="仿宋_GB2312" w:hAnsi="仿宋_GB2312" w:eastAsia="仿宋_GB2312" w:cs="仿宋_GB2312"/>
                <w:b/>
                <w:bCs/>
                <w:w w:val="90"/>
                <w:sz w:val="24"/>
                <w:szCs w:val="24"/>
                <w:u w:val="single"/>
              </w:rPr>
              <w:t>乙方通讯地址，实际联系地址</w:t>
            </w:r>
            <w:permEnd w:id="33"/>
          </w:p>
        </w:tc>
      </w:tr>
      <w:tr w14:paraId="47237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37635BB">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法定代表人</w:t>
            </w:r>
          </w:p>
        </w:tc>
        <w:tc>
          <w:tcPr>
            <w:tcW w:w="3690" w:type="dxa"/>
            <w:vAlign w:val="bottom"/>
          </w:tcPr>
          <w:p w14:paraId="03B732DB">
            <w:pPr>
              <w:spacing w:after="200" w:line="360" w:lineRule="auto"/>
              <w:jc w:val="center"/>
              <w:rPr>
                <w:rFonts w:ascii="仿宋_GB2312" w:hAnsi="仿宋_GB2312" w:eastAsia="仿宋_GB2312" w:cs="仿宋_GB2312"/>
                <w:w w:val="90"/>
                <w:sz w:val="24"/>
                <w:szCs w:val="24"/>
              </w:rPr>
            </w:pPr>
            <w:permStart w:id="34" w:edGrp="everyone"/>
            <w:r>
              <w:rPr>
                <w:rFonts w:hint="eastAsia" w:ascii="仿宋_GB2312" w:hAnsi="仿宋_GB2312" w:eastAsia="仿宋_GB2312" w:cs="仿宋_GB2312"/>
                <w:b/>
                <w:bCs/>
                <w:w w:val="90"/>
                <w:sz w:val="24"/>
                <w:szCs w:val="24"/>
                <w:u w:val="single"/>
              </w:rPr>
              <w:t>甲方法定代表人姓名</w:t>
            </w:r>
            <w:permEnd w:id="34"/>
          </w:p>
        </w:tc>
        <w:tc>
          <w:tcPr>
            <w:tcW w:w="3690" w:type="dxa"/>
            <w:vAlign w:val="bottom"/>
          </w:tcPr>
          <w:p w14:paraId="733AC005">
            <w:pPr>
              <w:spacing w:after="200" w:line="360" w:lineRule="auto"/>
              <w:jc w:val="center"/>
              <w:rPr>
                <w:rFonts w:ascii="仿宋_GB2312" w:hAnsi="仿宋_GB2312" w:eastAsia="仿宋_GB2312" w:cs="仿宋_GB2312"/>
                <w:w w:val="90"/>
                <w:sz w:val="24"/>
                <w:szCs w:val="24"/>
              </w:rPr>
            </w:pPr>
            <w:permStart w:id="35" w:edGrp="everyone"/>
            <w:r>
              <w:rPr>
                <w:rFonts w:hint="eastAsia" w:ascii="仿宋_GB2312" w:hAnsi="仿宋_GB2312" w:eastAsia="仿宋_GB2312" w:cs="仿宋_GB2312"/>
                <w:b/>
                <w:bCs/>
                <w:w w:val="90"/>
                <w:sz w:val="24"/>
                <w:szCs w:val="24"/>
                <w:u w:val="single"/>
              </w:rPr>
              <w:t>乙方法定代表人姓名</w:t>
            </w:r>
            <w:permEnd w:id="35"/>
          </w:p>
        </w:tc>
      </w:tr>
      <w:tr w14:paraId="1D1B3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36488DF">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授权代表</w:t>
            </w:r>
          </w:p>
        </w:tc>
        <w:tc>
          <w:tcPr>
            <w:tcW w:w="3690" w:type="dxa"/>
            <w:vAlign w:val="bottom"/>
          </w:tcPr>
          <w:p w14:paraId="712937C3">
            <w:pPr>
              <w:spacing w:after="200" w:line="360" w:lineRule="auto"/>
              <w:jc w:val="center"/>
              <w:rPr>
                <w:rFonts w:ascii="仿宋_GB2312" w:hAnsi="仿宋_GB2312" w:eastAsia="仿宋_GB2312" w:cs="仿宋_GB2312"/>
                <w:w w:val="90"/>
                <w:sz w:val="24"/>
                <w:szCs w:val="24"/>
              </w:rPr>
            </w:pPr>
            <w:permStart w:id="36" w:edGrp="everyone"/>
            <w:r>
              <w:rPr>
                <w:rFonts w:hint="eastAsia" w:ascii="仿宋_GB2312" w:hAnsi="仿宋_GB2312" w:eastAsia="仿宋_GB2312" w:cs="仿宋_GB2312"/>
                <w:b/>
                <w:bCs/>
                <w:w w:val="90"/>
                <w:sz w:val="24"/>
                <w:szCs w:val="24"/>
                <w:u w:val="single"/>
              </w:rPr>
              <w:t>甲方授权代表姓名</w:t>
            </w:r>
            <w:permEnd w:id="36"/>
          </w:p>
        </w:tc>
        <w:tc>
          <w:tcPr>
            <w:tcW w:w="3690" w:type="dxa"/>
            <w:vAlign w:val="bottom"/>
          </w:tcPr>
          <w:p w14:paraId="1414EC29">
            <w:pPr>
              <w:spacing w:after="200" w:line="360" w:lineRule="auto"/>
              <w:jc w:val="center"/>
              <w:rPr>
                <w:rFonts w:ascii="仿宋_GB2312" w:hAnsi="仿宋_GB2312" w:eastAsia="仿宋_GB2312" w:cs="仿宋_GB2312"/>
                <w:w w:val="90"/>
                <w:sz w:val="24"/>
                <w:szCs w:val="24"/>
              </w:rPr>
            </w:pPr>
            <w:permStart w:id="37" w:edGrp="everyone"/>
            <w:r>
              <w:rPr>
                <w:rFonts w:hint="eastAsia" w:ascii="仿宋_GB2312" w:hAnsi="仿宋_GB2312" w:eastAsia="仿宋_GB2312" w:cs="仿宋_GB2312"/>
                <w:b/>
                <w:bCs/>
                <w:w w:val="90"/>
                <w:sz w:val="24"/>
                <w:szCs w:val="24"/>
                <w:u w:val="single"/>
              </w:rPr>
              <w:t>乙方授权代表姓名</w:t>
            </w:r>
            <w:permEnd w:id="37"/>
          </w:p>
        </w:tc>
      </w:tr>
      <w:tr w14:paraId="789F2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8AEF157">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联系电话</w:t>
            </w:r>
          </w:p>
        </w:tc>
        <w:tc>
          <w:tcPr>
            <w:tcW w:w="3690" w:type="dxa"/>
            <w:vAlign w:val="bottom"/>
          </w:tcPr>
          <w:p w14:paraId="34838C17">
            <w:pPr>
              <w:spacing w:after="200" w:line="360" w:lineRule="auto"/>
              <w:jc w:val="center"/>
              <w:rPr>
                <w:rFonts w:ascii="仿宋_GB2312" w:hAnsi="仿宋_GB2312" w:eastAsia="仿宋_GB2312" w:cs="仿宋_GB2312"/>
                <w:w w:val="90"/>
                <w:sz w:val="24"/>
                <w:szCs w:val="24"/>
              </w:rPr>
            </w:pPr>
            <w:permStart w:id="38" w:edGrp="everyone"/>
            <w:r>
              <w:rPr>
                <w:rFonts w:hint="eastAsia" w:ascii="仿宋_GB2312" w:hAnsi="仿宋_GB2312" w:eastAsia="仿宋_GB2312" w:cs="仿宋_GB2312"/>
                <w:b/>
                <w:bCs/>
                <w:w w:val="90"/>
                <w:sz w:val="24"/>
                <w:szCs w:val="24"/>
                <w:u w:val="single"/>
              </w:rPr>
              <w:t>甲方授权代表手机号码</w:t>
            </w:r>
            <w:permEnd w:id="38"/>
          </w:p>
        </w:tc>
        <w:tc>
          <w:tcPr>
            <w:tcW w:w="3690" w:type="dxa"/>
            <w:vAlign w:val="bottom"/>
          </w:tcPr>
          <w:p w14:paraId="20F5679E">
            <w:pPr>
              <w:spacing w:after="200" w:line="360" w:lineRule="auto"/>
              <w:jc w:val="center"/>
              <w:rPr>
                <w:rFonts w:ascii="仿宋_GB2312" w:hAnsi="仿宋_GB2312" w:eastAsia="仿宋_GB2312" w:cs="仿宋_GB2312"/>
                <w:w w:val="90"/>
                <w:sz w:val="24"/>
                <w:szCs w:val="24"/>
              </w:rPr>
            </w:pPr>
            <w:permStart w:id="39" w:edGrp="everyone"/>
            <w:r>
              <w:rPr>
                <w:rFonts w:hint="eastAsia" w:ascii="仿宋_GB2312" w:hAnsi="仿宋_GB2312" w:eastAsia="仿宋_GB2312" w:cs="仿宋_GB2312"/>
                <w:b/>
                <w:bCs/>
                <w:w w:val="90"/>
                <w:sz w:val="24"/>
                <w:szCs w:val="24"/>
                <w:u w:val="single"/>
              </w:rPr>
              <w:t>乙方授权代表手机号码</w:t>
            </w:r>
            <w:permEnd w:id="39"/>
          </w:p>
        </w:tc>
      </w:tr>
      <w:tr w14:paraId="30D5C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A12CB74">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联系邮箱</w:t>
            </w:r>
          </w:p>
        </w:tc>
        <w:tc>
          <w:tcPr>
            <w:tcW w:w="3690" w:type="dxa"/>
            <w:vAlign w:val="bottom"/>
          </w:tcPr>
          <w:p w14:paraId="1C0F31AF">
            <w:pPr>
              <w:spacing w:after="200" w:line="360" w:lineRule="auto"/>
              <w:jc w:val="center"/>
              <w:rPr>
                <w:rFonts w:ascii="仿宋_GB2312" w:hAnsi="仿宋_GB2312" w:eastAsia="仿宋_GB2312" w:cs="仿宋_GB2312"/>
                <w:w w:val="90"/>
                <w:sz w:val="24"/>
                <w:szCs w:val="24"/>
              </w:rPr>
            </w:pPr>
            <w:permStart w:id="40" w:edGrp="everyone"/>
            <w:r>
              <w:rPr>
                <w:rFonts w:hint="eastAsia" w:ascii="仿宋_GB2312" w:hAnsi="仿宋_GB2312" w:eastAsia="仿宋_GB2312" w:cs="仿宋_GB2312"/>
                <w:b/>
                <w:bCs/>
                <w:w w:val="90"/>
                <w:sz w:val="24"/>
                <w:szCs w:val="24"/>
                <w:u w:val="single"/>
              </w:rPr>
              <w:t>甲方授权代表联系邮箱（非必填）</w:t>
            </w:r>
            <w:permEnd w:id="40"/>
          </w:p>
        </w:tc>
        <w:tc>
          <w:tcPr>
            <w:tcW w:w="3690" w:type="dxa"/>
            <w:vAlign w:val="bottom"/>
          </w:tcPr>
          <w:p w14:paraId="35327CA5">
            <w:pPr>
              <w:spacing w:after="200" w:line="360" w:lineRule="auto"/>
              <w:jc w:val="center"/>
              <w:rPr>
                <w:rFonts w:ascii="仿宋_GB2312" w:hAnsi="仿宋_GB2312" w:eastAsia="仿宋_GB2312" w:cs="仿宋_GB2312"/>
                <w:w w:val="90"/>
                <w:sz w:val="24"/>
                <w:szCs w:val="24"/>
              </w:rPr>
            </w:pPr>
            <w:permStart w:id="41" w:edGrp="everyone"/>
            <w:r>
              <w:rPr>
                <w:rFonts w:hint="eastAsia" w:ascii="仿宋_GB2312" w:hAnsi="仿宋_GB2312" w:eastAsia="仿宋_GB2312" w:cs="仿宋_GB2312"/>
                <w:b/>
                <w:bCs/>
                <w:w w:val="90"/>
                <w:sz w:val="24"/>
                <w:szCs w:val="24"/>
                <w:u w:val="single"/>
              </w:rPr>
              <w:t>乙方授权代表联系邮箱（非必填）</w:t>
            </w:r>
            <w:permEnd w:id="41"/>
          </w:p>
        </w:tc>
      </w:tr>
      <w:tr w14:paraId="7F8E3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AF42B48">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开户银行</w:t>
            </w:r>
          </w:p>
        </w:tc>
        <w:tc>
          <w:tcPr>
            <w:tcW w:w="3690" w:type="dxa"/>
            <w:vAlign w:val="bottom"/>
          </w:tcPr>
          <w:p w14:paraId="73CCCE83">
            <w:pPr>
              <w:spacing w:after="200" w:line="360" w:lineRule="auto"/>
              <w:jc w:val="center"/>
              <w:rPr>
                <w:rFonts w:ascii="仿宋_GB2312" w:hAnsi="仿宋_GB2312" w:eastAsia="仿宋_GB2312" w:cs="仿宋_GB2312"/>
                <w:w w:val="90"/>
                <w:sz w:val="24"/>
                <w:szCs w:val="24"/>
              </w:rPr>
            </w:pPr>
            <w:permStart w:id="42" w:edGrp="everyone"/>
            <w:r>
              <w:rPr>
                <w:rFonts w:hint="eastAsia" w:ascii="仿宋_GB2312" w:hAnsi="仿宋_GB2312" w:eastAsia="仿宋_GB2312" w:cs="仿宋_GB2312"/>
                <w:b/>
                <w:bCs/>
                <w:w w:val="90"/>
                <w:sz w:val="24"/>
                <w:szCs w:val="24"/>
                <w:u w:val="single"/>
              </w:rPr>
              <w:t>甲方开户银行规范全称（非必填）</w:t>
            </w:r>
            <w:permEnd w:id="42"/>
          </w:p>
        </w:tc>
        <w:tc>
          <w:tcPr>
            <w:tcW w:w="3690" w:type="dxa"/>
            <w:vAlign w:val="bottom"/>
          </w:tcPr>
          <w:p w14:paraId="1158C9D1">
            <w:pPr>
              <w:spacing w:after="200" w:line="360" w:lineRule="auto"/>
              <w:jc w:val="center"/>
              <w:rPr>
                <w:rFonts w:ascii="仿宋_GB2312" w:hAnsi="仿宋_GB2312" w:eastAsia="仿宋_GB2312" w:cs="仿宋_GB2312"/>
                <w:w w:val="90"/>
                <w:sz w:val="24"/>
                <w:szCs w:val="24"/>
              </w:rPr>
            </w:pPr>
            <w:permStart w:id="43" w:edGrp="everyone"/>
            <w:r>
              <w:rPr>
                <w:rFonts w:hint="eastAsia" w:ascii="仿宋_GB2312" w:hAnsi="仿宋_GB2312" w:eastAsia="仿宋_GB2312" w:cs="仿宋_GB2312"/>
                <w:b/>
                <w:bCs/>
                <w:w w:val="90"/>
                <w:sz w:val="24"/>
                <w:szCs w:val="24"/>
                <w:u w:val="single"/>
              </w:rPr>
              <w:t>乙方开户银行规范全称</w:t>
            </w:r>
            <w:permEnd w:id="43"/>
          </w:p>
        </w:tc>
      </w:tr>
      <w:tr w14:paraId="47917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1F3DE29">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开户行联行号</w:t>
            </w:r>
          </w:p>
        </w:tc>
        <w:tc>
          <w:tcPr>
            <w:tcW w:w="3690" w:type="dxa"/>
            <w:vAlign w:val="bottom"/>
          </w:tcPr>
          <w:p w14:paraId="4FD3B637">
            <w:pPr>
              <w:spacing w:after="200" w:line="360" w:lineRule="auto"/>
              <w:jc w:val="center"/>
              <w:rPr>
                <w:rFonts w:ascii="仿宋_GB2312" w:hAnsi="仿宋_GB2312" w:eastAsia="仿宋_GB2312" w:cs="仿宋_GB2312"/>
                <w:w w:val="90"/>
                <w:sz w:val="24"/>
                <w:szCs w:val="24"/>
              </w:rPr>
            </w:pPr>
            <w:permStart w:id="44" w:edGrp="everyone"/>
            <w:r>
              <w:rPr>
                <w:rFonts w:hint="eastAsia" w:ascii="仿宋_GB2312" w:hAnsi="仿宋_GB2312" w:eastAsia="仿宋_GB2312" w:cs="仿宋_GB2312"/>
                <w:b/>
                <w:bCs/>
                <w:w w:val="90"/>
                <w:sz w:val="24"/>
                <w:szCs w:val="24"/>
                <w:u w:val="single"/>
              </w:rPr>
              <w:t>甲方开户银行联行号（非必填）</w:t>
            </w:r>
            <w:permEnd w:id="44"/>
          </w:p>
        </w:tc>
        <w:tc>
          <w:tcPr>
            <w:tcW w:w="3690" w:type="dxa"/>
            <w:vAlign w:val="bottom"/>
          </w:tcPr>
          <w:p w14:paraId="4C91F375">
            <w:pPr>
              <w:spacing w:after="200" w:line="360" w:lineRule="auto"/>
              <w:jc w:val="center"/>
              <w:rPr>
                <w:rFonts w:ascii="仿宋_GB2312" w:hAnsi="仿宋_GB2312" w:eastAsia="仿宋_GB2312" w:cs="仿宋_GB2312"/>
                <w:w w:val="90"/>
                <w:sz w:val="24"/>
                <w:szCs w:val="24"/>
              </w:rPr>
            </w:pPr>
            <w:permStart w:id="45" w:edGrp="everyone"/>
            <w:r>
              <w:rPr>
                <w:rFonts w:hint="eastAsia" w:ascii="仿宋_GB2312" w:hAnsi="仿宋_GB2312" w:eastAsia="仿宋_GB2312" w:cs="仿宋_GB2312"/>
                <w:b/>
                <w:bCs/>
                <w:w w:val="90"/>
                <w:sz w:val="24"/>
                <w:szCs w:val="24"/>
                <w:u w:val="single"/>
              </w:rPr>
              <w:t>乙方开户银行联行号</w:t>
            </w:r>
            <w:permEnd w:id="45"/>
          </w:p>
        </w:tc>
      </w:tr>
      <w:tr w14:paraId="72AEC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0B39395">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开户账号</w:t>
            </w:r>
          </w:p>
        </w:tc>
        <w:tc>
          <w:tcPr>
            <w:tcW w:w="3690" w:type="dxa"/>
            <w:vAlign w:val="bottom"/>
          </w:tcPr>
          <w:p w14:paraId="45D7C5B0">
            <w:pPr>
              <w:spacing w:after="200" w:line="360" w:lineRule="auto"/>
              <w:jc w:val="center"/>
              <w:rPr>
                <w:rFonts w:ascii="仿宋_GB2312" w:hAnsi="仿宋_GB2312" w:eastAsia="仿宋_GB2312" w:cs="仿宋_GB2312"/>
                <w:w w:val="90"/>
                <w:sz w:val="24"/>
                <w:szCs w:val="24"/>
              </w:rPr>
            </w:pPr>
            <w:permStart w:id="46" w:edGrp="everyone"/>
            <w:r>
              <w:rPr>
                <w:rFonts w:hint="eastAsia" w:ascii="仿宋_GB2312" w:hAnsi="仿宋_GB2312" w:eastAsia="仿宋_GB2312" w:cs="仿宋_GB2312"/>
                <w:b/>
                <w:bCs/>
                <w:w w:val="90"/>
                <w:sz w:val="24"/>
                <w:szCs w:val="24"/>
                <w:u w:val="single"/>
              </w:rPr>
              <w:t>甲方银行账号（非必填）</w:t>
            </w:r>
            <w:permEnd w:id="46"/>
          </w:p>
        </w:tc>
        <w:tc>
          <w:tcPr>
            <w:tcW w:w="3690" w:type="dxa"/>
            <w:vAlign w:val="bottom"/>
          </w:tcPr>
          <w:p w14:paraId="53D27E87">
            <w:pPr>
              <w:spacing w:after="200" w:line="360" w:lineRule="auto"/>
              <w:jc w:val="center"/>
              <w:rPr>
                <w:rFonts w:ascii="仿宋_GB2312" w:hAnsi="仿宋_GB2312" w:eastAsia="仿宋_GB2312" w:cs="仿宋_GB2312"/>
                <w:w w:val="90"/>
                <w:sz w:val="24"/>
                <w:szCs w:val="24"/>
              </w:rPr>
            </w:pPr>
            <w:permStart w:id="47" w:edGrp="everyone"/>
            <w:r>
              <w:rPr>
                <w:rFonts w:hint="eastAsia" w:ascii="仿宋_GB2312" w:hAnsi="仿宋_GB2312" w:eastAsia="仿宋_GB2312" w:cs="仿宋_GB2312"/>
                <w:b/>
                <w:bCs/>
                <w:w w:val="90"/>
                <w:sz w:val="24"/>
                <w:szCs w:val="24"/>
                <w:u w:val="single"/>
              </w:rPr>
              <w:t>乙方银行账号</w:t>
            </w:r>
            <w:permEnd w:id="47"/>
          </w:p>
        </w:tc>
      </w:tr>
      <w:tr w14:paraId="3E86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6D65053">
            <w:pPr>
              <w:spacing w:after="200" w:line="360" w:lineRule="auto"/>
              <w:jc w:val="center"/>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其他信息</w:t>
            </w:r>
          </w:p>
        </w:tc>
        <w:tc>
          <w:tcPr>
            <w:tcW w:w="3690" w:type="dxa"/>
            <w:vAlign w:val="bottom"/>
          </w:tcPr>
          <w:p w14:paraId="61124C7F">
            <w:pPr>
              <w:spacing w:after="200" w:line="360" w:lineRule="auto"/>
              <w:jc w:val="center"/>
              <w:rPr>
                <w:rFonts w:ascii="仿宋_GB2312" w:hAnsi="仿宋_GB2312" w:eastAsia="仿宋_GB2312" w:cs="仿宋_GB2312"/>
                <w:w w:val="90"/>
                <w:sz w:val="24"/>
                <w:szCs w:val="24"/>
              </w:rPr>
            </w:pPr>
            <w:permStart w:id="48" w:edGrp="everyone"/>
            <w:r>
              <w:rPr>
                <w:rFonts w:hint="eastAsia" w:ascii="仿宋_GB2312" w:hAnsi="仿宋_GB2312" w:eastAsia="仿宋_GB2312" w:cs="仿宋_GB2312"/>
                <w:b/>
                <w:bCs/>
                <w:w w:val="90"/>
                <w:sz w:val="24"/>
                <w:szCs w:val="24"/>
                <w:u w:val="single"/>
              </w:rPr>
              <w:t>甲方其他需列明企业信息（非必填）</w:t>
            </w:r>
            <w:permEnd w:id="48"/>
          </w:p>
        </w:tc>
        <w:tc>
          <w:tcPr>
            <w:tcW w:w="3690" w:type="dxa"/>
            <w:vAlign w:val="bottom"/>
          </w:tcPr>
          <w:p w14:paraId="26A84B91">
            <w:pPr>
              <w:spacing w:after="200" w:line="360" w:lineRule="auto"/>
              <w:jc w:val="center"/>
              <w:rPr>
                <w:rFonts w:ascii="仿宋_GB2312" w:hAnsi="仿宋_GB2312" w:eastAsia="仿宋_GB2312" w:cs="仿宋_GB2312"/>
                <w:w w:val="90"/>
                <w:sz w:val="24"/>
                <w:szCs w:val="24"/>
              </w:rPr>
            </w:pPr>
            <w:permStart w:id="49" w:edGrp="everyone"/>
            <w:r>
              <w:rPr>
                <w:rFonts w:hint="eastAsia" w:ascii="仿宋_GB2312" w:hAnsi="仿宋_GB2312" w:eastAsia="仿宋_GB2312" w:cs="仿宋_GB2312"/>
                <w:b/>
                <w:bCs/>
                <w:w w:val="90"/>
                <w:sz w:val="24"/>
                <w:szCs w:val="24"/>
                <w:u w:val="single"/>
              </w:rPr>
              <w:t>乙方其他需列明企业信息（非必填）</w:t>
            </w:r>
            <w:permEnd w:id="49"/>
          </w:p>
        </w:tc>
      </w:tr>
    </w:tbl>
    <w:p w14:paraId="61688E4C">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合同履行过程中，如甲乙双方基本信息发生变更，应及时以书面形式告知对方并就付款账户信息变更签署相关补充协议。</w:t>
      </w:r>
    </w:p>
    <w:p w14:paraId="01FD157A">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3.生效条款</w:t>
      </w:r>
    </w:p>
    <w:p w14:paraId="46DFC34E">
      <w:pPr>
        <w:spacing w:line="360" w:lineRule="auto"/>
        <w:ind w:firstLine="480" w:firstLineChars="200"/>
        <w:rPr>
          <w:rFonts w:ascii="仿宋_GB2312" w:hAnsi="黑体" w:eastAsia="仿宋_GB2312" w:cstheme="minorEastAsia"/>
          <w:sz w:val="24"/>
          <w:szCs w:val="24"/>
          <w:u w:val="single"/>
        </w:rPr>
      </w:pPr>
      <w:r>
        <w:rPr>
          <w:rFonts w:hint="eastAsia" w:ascii="仿宋_GB2312" w:hAnsi="黑体" w:eastAsia="仿宋_GB2312" w:cstheme="minorEastAsia"/>
          <w:sz w:val="24"/>
          <w:szCs w:val="24"/>
        </w:rPr>
        <w:t>3.1本合同经双方签署后生效。</w:t>
      </w:r>
    </w:p>
    <w:p w14:paraId="131C7C46">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rPr>
        <w:t>3.2本合同一式四份，甲乙双方各执两份，具有同等法律效力。</w:t>
      </w:r>
    </w:p>
    <w:p w14:paraId="49581060">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4.特殊约定</w:t>
      </w:r>
    </w:p>
    <w:p w14:paraId="2672DB43">
      <w:pPr>
        <w:spacing w:line="360" w:lineRule="auto"/>
        <w:ind w:firstLine="434" w:firstLineChars="200"/>
        <w:rPr>
          <w:rFonts w:ascii="仿宋_GB2312" w:hAnsi="黑体" w:eastAsia="仿宋_GB2312" w:cstheme="minorEastAsia"/>
          <w:sz w:val="24"/>
          <w:szCs w:val="24"/>
        </w:rPr>
      </w:pPr>
      <w:permStart w:id="50" w:edGrp="everyone"/>
      <w:r>
        <w:rPr>
          <w:rFonts w:hint="eastAsia" w:ascii="仿宋_GB2312" w:hAnsi="仿宋_GB2312" w:eastAsia="仿宋_GB2312" w:cs="仿宋_GB2312"/>
          <w:b/>
          <w:bCs/>
          <w:w w:val="90"/>
          <w:sz w:val="24"/>
          <w:szCs w:val="24"/>
          <w:u w:val="single"/>
        </w:rPr>
        <w:t>特殊约定事项，据实填写：4.1                ;4.2               ;……。若无，</w:t>
      </w:r>
      <w:r>
        <w:rPr>
          <w:rFonts w:hint="eastAsia" w:ascii="仿宋_GB2312" w:eastAsia="仿宋_GB2312" w:hAnsiTheme="minorEastAsia" w:cstheme="minorEastAsia"/>
          <w:b/>
          <w:bCs/>
          <w:sz w:val="24"/>
          <w:szCs w:val="24"/>
          <w:u w:val="single"/>
        </w:rPr>
        <w:t>填写“无”。专用条款、通用条款中需进行修改的部分应在此处予以体现。</w:t>
      </w:r>
      <w:permEnd w:id="50"/>
    </w:p>
    <w:p w14:paraId="5070630D">
      <w:pPr>
        <w:spacing w:line="360" w:lineRule="auto"/>
        <w:rPr>
          <w:rFonts w:ascii="宋体" w:hAnsi="宋体"/>
          <w:snapToGrid w:val="0"/>
          <w:kern w:val="0"/>
          <w:sz w:val="20"/>
          <w:szCs w:val="20"/>
          <w:lang w:eastAsia="zh-Hans"/>
        </w:rPr>
      </w:pPr>
    </w:p>
    <w:p w14:paraId="557BE05C">
      <w:pPr>
        <w:spacing w:line="360" w:lineRule="auto"/>
        <w:rPr>
          <w:rFonts w:ascii="宋体" w:hAnsi="宋体"/>
          <w:snapToGrid w:val="0"/>
          <w:kern w:val="0"/>
          <w:sz w:val="20"/>
          <w:szCs w:val="20"/>
          <w:lang w:eastAsia="zh-Hans"/>
        </w:rPr>
      </w:pPr>
    </w:p>
    <w:p w14:paraId="59648CA3">
      <w:pPr>
        <w:widowControl/>
        <w:adjustRightInd w:val="0"/>
        <w:snapToGrid w:val="0"/>
        <w:spacing w:line="360" w:lineRule="auto"/>
        <w:ind w:firstLine="480" w:firstLineChars="200"/>
        <w:jc w:val="left"/>
        <w:rPr>
          <w:rFonts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1" w:edGrp="everyone"/>
      <w:r>
        <w:rPr>
          <w:rFonts w:hint="eastAsia" w:ascii="仿宋_GB2312" w:hAnsi="宋体" w:eastAsia="仿宋_GB2312"/>
          <w:b/>
          <w:bCs/>
          <w:snapToGrid w:val="0"/>
          <w:kern w:val="0"/>
          <w:sz w:val="24"/>
          <w:szCs w:val="24"/>
          <w:u w:val="single"/>
        </w:rPr>
        <w:t>甲方单位全称</w:t>
      </w:r>
      <w:permEnd w:id="51"/>
    </w:p>
    <w:p w14:paraId="54CC33BE">
      <w:pPr>
        <w:widowControl/>
        <w:adjustRightInd w:val="0"/>
        <w:snapToGrid w:val="0"/>
        <w:spacing w:line="360" w:lineRule="auto"/>
        <w:ind w:firstLine="482" w:firstLineChars="200"/>
        <w:jc w:val="left"/>
        <w:rPr>
          <w:rFonts w:ascii="仿宋_GB2312" w:hAnsi="宋体" w:eastAsia="仿宋_GB2312"/>
          <w:b/>
          <w:bCs/>
          <w:snapToGrid w:val="0"/>
          <w:kern w:val="0"/>
          <w:sz w:val="24"/>
          <w:szCs w:val="24"/>
          <w:u w:val="single"/>
        </w:rPr>
      </w:pPr>
    </w:p>
    <w:p w14:paraId="469640F9">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甲方代表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4BD57883">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5948866A">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p>
    <w:p w14:paraId="1E9E1941">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7C7C1DC1">
      <w:pPr>
        <w:widowControl/>
        <w:adjustRightInd w:val="0"/>
        <w:snapToGrid w:val="0"/>
        <w:spacing w:line="360" w:lineRule="auto"/>
        <w:ind w:firstLine="480" w:firstLineChars="200"/>
        <w:jc w:val="left"/>
        <w:rPr>
          <w:rFonts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2" w:edGrp="everyone"/>
      <w:r>
        <w:rPr>
          <w:rFonts w:hint="eastAsia" w:ascii="仿宋_GB2312" w:hAnsi="仿宋_GB2312" w:eastAsia="仿宋_GB2312" w:cs="仿宋_GB2312"/>
          <w:b/>
          <w:bCs/>
          <w:sz w:val="24"/>
          <w:szCs w:val="24"/>
          <w:u w:val="single"/>
        </w:rPr>
        <w:t>乙方单位全称</w:t>
      </w:r>
      <w:permEnd w:id="52"/>
    </w:p>
    <w:p w14:paraId="6FCF16FB">
      <w:pPr>
        <w:widowControl/>
        <w:adjustRightInd w:val="0"/>
        <w:snapToGrid w:val="0"/>
        <w:spacing w:line="360" w:lineRule="auto"/>
        <w:ind w:firstLine="482" w:firstLineChars="200"/>
        <w:jc w:val="left"/>
        <w:rPr>
          <w:rFonts w:ascii="仿宋_GB2312" w:hAnsi="仿宋_GB2312" w:eastAsia="仿宋_GB2312" w:cs="仿宋_GB2312"/>
          <w:b/>
          <w:bCs/>
          <w:sz w:val="24"/>
          <w:szCs w:val="24"/>
          <w:u w:val="single"/>
        </w:rPr>
      </w:pPr>
    </w:p>
    <w:p w14:paraId="4301F201">
      <w:pPr>
        <w:ind w:firstLine="480" w:firstLineChars="200"/>
        <w:rPr>
          <w:rFonts w:ascii="仿宋_GB2312" w:hAnsi="宋体" w:eastAsia="仿宋_GB2312"/>
          <w:snapToGrid w:val="0"/>
          <w:color w:val="000000"/>
          <w:kern w:val="0"/>
          <w:sz w:val="24"/>
          <w:szCs w:val="24"/>
          <w:lang w:eastAsia="zh-Hans"/>
        </w:rPr>
        <w:sectPr>
          <w:footerReference r:id="rId8" w:type="default"/>
          <w:pgSz w:w="11907" w:h="16840"/>
          <w:pgMar w:top="1304" w:right="1418" w:bottom="1304" w:left="1418" w:header="724" w:footer="851" w:gutter="0"/>
          <w:cols w:space="720" w:num="1"/>
          <w:docGrid w:linePitch="290" w:charSpace="-3931"/>
        </w:sectPr>
      </w:pPr>
      <w:r>
        <w:rPr>
          <w:rFonts w:hint="eastAsia" w:ascii="仿宋_GB2312" w:hAnsi="宋体" w:eastAsia="仿宋_GB2312"/>
          <w:snapToGrid w:val="0"/>
          <w:color w:val="000000"/>
          <w:kern w:val="0"/>
          <w:sz w:val="24"/>
          <w:szCs w:val="24"/>
        </w:rPr>
        <w:t>乙方代表</w:t>
      </w:r>
      <w:r>
        <w:rPr>
          <w:rFonts w:hint="eastAsia" w:ascii="仿宋_GB2312" w:hAnsi="宋体" w:eastAsia="仿宋_GB2312"/>
          <w:snapToGrid w:val="0"/>
          <w:color w:val="000000"/>
          <w:kern w:val="0"/>
          <w:sz w:val="24"/>
          <w:szCs w:val="24"/>
          <w:lang w:eastAsia="zh-Hans"/>
        </w:rPr>
        <w:t xml:space="preserve">（签字）：  </w:t>
      </w:r>
    </w:p>
    <w:p w14:paraId="301410D3">
      <w:pPr>
        <w:ind w:firstLine="480" w:firstLineChars="200"/>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554841A7">
      <w:pPr>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585AD6B7">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通用条款</w:t>
      </w:r>
    </w:p>
    <w:p w14:paraId="07E57D8C">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91" w:name="_Toc17619"/>
      <w:bookmarkStart w:id="92" w:name="_Toc11930"/>
      <w:bookmarkStart w:id="93" w:name="_Toc11823"/>
      <w:bookmarkStart w:id="94" w:name="_Toc16330018"/>
      <w:r>
        <w:rPr>
          <w:rFonts w:hint="eastAsia" w:ascii="黑体" w:hAnsi="黑体" w:eastAsia="黑体" w:cs="黑体"/>
          <w:b w:val="0"/>
          <w:sz w:val="24"/>
          <w:szCs w:val="24"/>
        </w:rPr>
        <w:t>1 合同设备</w:t>
      </w:r>
      <w:bookmarkEnd w:id="91"/>
      <w:bookmarkEnd w:id="92"/>
      <w:bookmarkEnd w:id="93"/>
      <w:bookmarkEnd w:id="94"/>
    </w:p>
    <w:p w14:paraId="220CD6C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w:t>
      </w:r>
      <w:bookmarkStart w:id="95" w:name="_Toc32510"/>
      <w:bookmarkStart w:id="96" w:name="_Toc22800"/>
      <w:bookmarkStart w:id="97" w:name="_Toc29026"/>
      <w:r>
        <w:rPr>
          <w:rFonts w:hint="eastAsia" w:ascii="仿宋_GB2312" w:hAnsi="仿宋_GB2312" w:eastAsia="仿宋_GB2312" w:cs="仿宋_GB2312"/>
          <w:sz w:val="24"/>
          <w:szCs w:val="24"/>
        </w:rPr>
        <w:t>本合同约定设备的技术规格详见附件《技术协议书》。</w:t>
      </w:r>
    </w:p>
    <w:p w14:paraId="6FAC335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本合同约定设备的技术规格及性能标准应与《技术协议书》中规定的相应标准一致。若《技术协议书》无相应规定或未签署《技术协议书》，设备的技术规格及性能标准则应符合相应的国家标准、其原产地国家有关部门最新颁布的相应正式标准、买方招标文件及卖方一切书面承诺中要求的技术标准。</w:t>
      </w:r>
    </w:p>
    <w:p w14:paraId="6D23DDD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1.3在设备所有权转移到买方之前，有关设备的保险由卖方负责办理并承担保险费用。</w:t>
      </w:r>
    </w:p>
    <w:p w14:paraId="2FE4BEA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98" w:name="_Toc16330019"/>
      <w:r>
        <w:rPr>
          <w:rFonts w:hint="eastAsia" w:ascii="黑体" w:hAnsi="黑体" w:eastAsia="黑体" w:cs="黑体"/>
          <w:b w:val="0"/>
          <w:sz w:val="24"/>
          <w:szCs w:val="24"/>
        </w:rPr>
        <w:t>2 包装</w:t>
      </w:r>
      <w:bookmarkEnd w:id="95"/>
      <w:bookmarkEnd w:id="96"/>
      <w:bookmarkEnd w:id="97"/>
      <w:bookmarkEnd w:id="98"/>
    </w:p>
    <w:p w14:paraId="5A6030E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68E388B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2.2每件包装应附有详细的装箱单和质量证书各两套，一套在包装箱里，一套在包装箱外。</w:t>
      </w:r>
    </w:p>
    <w:p w14:paraId="09D3423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99" w:name="_Toc27144"/>
      <w:bookmarkStart w:id="100" w:name="_Toc2833"/>
      <w:bookmarkStart w:id="101" w:name="_Toc27453"/>
      <w:bookmarkStart w:id="102" w:name="_Toc16330020"/>
      <w:r>
        <w:rPr>
          <w:rFonts w:hint="eastAsia" w:ascii="黑体" w:hAnsi="黑体" w:eastAsia="黑体" w:cs="黑体"/>
          <w:b w:val="0"/>
          <w:sz w:val="24"/>
          <w:szCs w:val="24"/>
        </w:rPr>
        <w:t>3 运输标记</w:t>
      </w:r>
      <w:bookmarkEnd w:id="99"/>
      <w:bookmarkEnd w:id="100"/>
      <w:bookmarkEnd w:id="101"/>
      <w:bookmarkEnd w:id="102"/>
    </w:p>
    <w:p w14:paraId="5873C0E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3.1卖方应在每一包装箱邻近的四个侧面用不易褪色的油漆以醒目的中文印刷字体标明以下各项：</w:t>
      </w:r>
    </w:p>
    <w:p w14:paraId="2F1B3A9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3.1.1收货人</w:t>
      </w:r>
    </w:p>
    <w:p w14:paraId="1F054CD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3.1.2合同号</w:t>
      </w:r>
    </w:p>
    <w:p w14:paraId="11D68E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3.1.3发货标记（唛头）</w:t>
      </w:r>
    </w:p>
    <w:p w14:paraId="52162E9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3.1.4设备的名称、品目号、箱号</w:t>
      </w:r>
    </w:p>
    <w:p w14:paraId="0033E9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3.1.5毛重/净重（公斤）</w:t>
      </w:r>
    </w:p>
    <w:p w14:paraId="2F6DD26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3.1.6尺寸（长×宽×高，以厘米计）</w:t>
      </w:r>
    </w:p>
    <w:p w14:paraId="35CBD3D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362A643F">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03" w:name="_Toc16330021"/>
      <w:bookmarkStart w:id="104" w:name="_Toc7431"/>
      <w:bookmarkStart w:id="105" w:name="_Toc16133"/>
      <w:bookmarkStart w:id="106" w:name="_Toc10630"/>
      <w:r>
        <w:rPr>
          <w:rFonts w:hint="eastAsia" w:ascii="黑体" w:hAnsi="黑体" w:eastAsia="黑体" w:cs="黑体"/>
          <w:b w:val="0"/>
          <w:sz w:val="24"/>
          <w:szCs w:val="24"/>
        </w:rPr>
        <w:t>4 检验</w:t>
      </w:r>
      <w:bookmarkEnd w:id="103"/>
      <w:bookmarkEnd w:id="104"/>
      <w:bookmarkEnd w:id="105"/>
      <w:bookmarkEnd w:id="106"/>
    </w:p>
    <w:p w14:paraId="1D1E83A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2EF3E2D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4.2国家强制检验检测的设备，需要经过国家有关部门进行检验检测，卖方保证提供的设备通过其检验并承担费用。</w:t>
      </w:r>
    </w:p>
    <w:p w14:paraId="78B43F8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07" w:name="_Toc19850"/>
      <w:bookmarkStart w:id="108" w:name="_Toc16330022"/>
      <w:bookmarkStart w:id="109" w:name="_Toc24467"/>
      <w:bookmarkStart w:id="110" w:name="_Toc11217"/>
      <w:r>
        <w:rPr>
          <w:rFonts w:hint="eastAsia" w:ascii="黑体" w:hAnsi="黑体" w:eastAsia="黑体" w:cs="黑体"/>
          <w:b w:val="0"/>
          <w:sz w:val="24"/>
          <w:szCs w:val="24"/>
        </w:rPr>
        <w:t>5 权利担保</w:t>
      </w:r>
      <w:bookmarkEnd w:id="107"/>
      <w:bookmarkEnd w:id="108"/>
      <w:bookmarkEnd w:id="109"/>
      <w:bookmarkEnd w:id="110"/>
    </w:p>
    <w:p w14:paraId="476A92B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5.1卖方所交付的设备，必须是第三方不能提出任何权利或要求的设备，卖方应担保设备不存在订立本合同时不为买方所知的第三方的权利（包括但不限于抵押权、留置权等）或行政、司法查封。</w:t>
      </w:r>
    </w:p>
    <w:p w14:paraId="1F034AB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5.2卖方应保证第三方对其提交的设备不得以侵权或其他类似理由提出合法要求，如侵犯知识产权等。</w:t>
      </w:r>
    </w:p>
    <w:p w14:paraId="0089333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5.3任何第三方如果提出侵权指控，卖方应与第三方交涉，并承担由此引起的一切法律责任和费用以及给买方所造成的损失。</w:t>
      </w:r>
    </w:p>
    <w:p w14:paraId="5A80E8B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5.4买方应在已知道第三方的权利或要求后的一段合理时间内，将此权利或要求的性质通知卖方。</w:t>
      </w:r>
    </w:p>
    <w:p w14:paraId="004094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4B8C129B">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1" w:name="_Toc16330023"/>
      <w:bookmarkStart w:id="112" w:name="_Toc14809"/>
      <w:bookmarkStart w:id="113" w:name="_Toc27500"/>
      <w:bookmarkStart w:id="114" w:name="_Toc11759"/>
      <w:r>
        <w:rPr>
          <w:rFonts w:hint="eastAsia" w:ascii="黑体" w:hAnsi="黑体" w:eastAsia="黑体" w:cs="黑体"/>
          <w:b w:val="0"/>
          <w:sz w:val="24"/>
          <w:szCs w:val="24"/>
        </w:rPr>
        <w:t>6 交货</w:t>
      </w:r>
      <w:bookmarkEnd w:id="111"/>
      <w:bookmarkEnd w:id="112"/>
      <w:bookmarkEnd w:id="113"/>
      <w:bookmarkEnd w:id="114"/>
    </w:p>
    <w:p w14:paraId="75D4D39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44D173A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6.2卖方应在设备装运完成后当天以传真、邮件等的形式通知买方合同号、设备名称、数量、毛重、体积（立方米）、发票金额、启运日期、预计到达日期。</w:t>
      </w:r>
    </w:p>
    <w:p w14:paraId="632A8E6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04ACB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6.4交货方式的释义</w:t>
      </w:r>
    </w:p>
    <w:p w14:paraId="6B1247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6.4.1交钥匙方式：卖方负责合同设备的设计、制造、运输、定点卸货、安装、调试、培训及售后服务等所有内容，直至买方验收合格并交付使用。</w:t>
      </w:r>
    </w:p>
    <w:p w14:paraId="7F8B05F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14:paraId="7C2EBC6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6.4.3自提：买方依照合同约定到卖方所在地提取合同设备，经买方根据合同所约定的数量、型号及配置等内容逐一确认无误后，双方完成交付手续。</w:t>
      </w:r>
    </w:p>
    <w:p w14:paraId="145F311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6.5到货后，买卖双方代表办理移交手续，此时的移交不代表卖方合同设备所有权的转移，合同设备的保管责任仍然由卖方承担。移交内容包括：合同设备、硬件、软件、图纸、资料、质量证明文件等。</w:t>
      </w:r>
    </w:p>
    <w:p w14:paraId="220D1FD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6.6卖方在交付设备前需通知买方。</w:t>
      </w:r>
    </w:p>
    <w:p w14:paraId="5890F92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6.7风险的转移：</w:t>
      </w:r>
    </w:p>
    <w:p w14:paraId="0E1C90F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1FA8F0F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5" w:name="_Toc25510"/>
      <w:bookmarkStart w:id="116" w:name="_Toc2984"/>
      <w:bookmarkStart w:id="117" w:name="_Toc8024"/>
      <w:bookmarkStart w:id="118" w:name="_Toc16330024"/>
      <w:r>
        <w:rPr>
          <w:rFonts w:hint="eastAsia" w:ascii="黑体" w:hAnsi="黑体" w:eastAsia="黑体" w:cs="黑体"/>
          <w:b w:val="0"/>
          <w:sz w:val="24"/>
          <w:szCs w:val="24"/>
        </w:rPr>
        <w:t>7 安装、调试</w:t>
      </w:r>
      <w:bookmarkEnd w:id="115"/>
      <w:bookmarkEnd w:id="116"/>
      <w:bookmarkEnd w:id="117"/>
      <w:bookmarkEnd w:id="118"/>
    </w:p>
    <w:p w14:paraId="786FCDA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7.1 卖方应自带用以安装、调试过程中所需的各种工具、仪器、仪表及易损件。在安装、调试过程中，卖方应自负其工作人员的食宿、交通等费用。</w:t>
      </w:r>
    </w:p>
    <w:p w14:paraId="14F8DA2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7.2在安装、调试过程中，安装场地及施工人员安全，由卖方负责。由于安装、调试等原因造成买方或他人人身损害或财产损失的，由卖方承担赔偿责任。</w:t>
      </w:r>
    </w:p>
    <w:p w14:paraId="5C1A4A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7.3</w:t>
      </w:r>
      <w:r>
        <w:rPr>
          <w:rFonts w:hint="eastAsia" w:ascii="仿宋_GB2312" w:hAnsi="仿宋_GB2312" w:eastAsia="仿宋_GB2312" w:cs="仿宋_GB2312"/>
          <w:bCs/>
          <w:sz w:val="24"/>
          <w:szCs w:val="24"/>
        </w:rPr>
        <w:t xml:space="preserve"> </w:t>
      </w:r>
      <w:r>
        <w:rPr>
          <w:rFonts w:hint="eastAsia" w:ascii="仿宋_GB2312" w:hAnsi="仿宋_GB2312" w:eastAsia="仿宋_GB2312" w:cs="仿宋_GB2312"/>
          <w:sz w:val="24"/>
          <w:szCs w:val="24"/>
        </w:rPr>
        <w:t>卖方须对安装、调试过程中造成的买方或他人人身损害或财产损失承担赔偿责任。</w:t>
      </w:r>
    </w:p>
    <w:p w14:paraId="4FE9B26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19" w:name="_Toc14098"/>
      <w:bookmarkStart w:id="120" w:name="_Toc6350"/>
      <w:bookmarkStart w:id="121" w:name="_Toc16330025"/>
      <w:bookmarkStart w:id="122" w:name="_Toc14260"/>
      <w:r>
        <w:rPr>
          <w:rFonts w:hint="eastAsia" w:ascii="黑体" w:hAnsi="黑体" w:eastAsia="黑体" w:cs="黑体"/>
          <w:b w:val="0"/>
          <w:sz w:val="24"/>
          <w:szCs w:val="24"/>
        </w:rPr>
        <w:t>8 价款与支付</w:t>
      </w:r>
      <w:bookmarkEnd w:id="119"/>
      <w:bookmarkEnd w:id="120"/>
      <w:bookmarkEnd w:id="121"/>
      <w:bookmarkEnd w:id="122"/>
    </w:p>
    <w:p w14:paraId="05C494C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8.1合同价格以不含税价格为准。若因国家税收法律法规或政策调整对本合同业务的税目、税率等产生影响，双方确定本合同约定的各项业务的不含税价格不做调整，各项业务的含税价格依法依规进行调整。</w:t>
      </w:r>
    </w:p>
    <w:p w14:paraId="63A9B2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8.2本合同约定的含税总价包括但不限于全部（全新）产品价、备品备件价、专用工具价、运杂费（包括现场卸车费）、设计、制造、安装（或指导安装）、调试、验收、培训、技术及售后服务费、技术资料费等所有费用的总和。</w:t>
      </w:r>
    </w:p>
    <w:p w14:paraId="478A200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8.3双方约定的付款条件执行中，满足付款条件后甲方在30日内完成付款不被视为付款延迟；若甲方在满足付款条件30日后尚未完成付款的，付款延迟违约计算从满足付款条件第31日起开始计算。</w:t>
      </w:r>
    </w:p>
    <w:p w14:paraId="4C131B6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8.4乙方结算时，必须使用合法有效并经甲方认可的增值税专用发票，否则不予结算。因发票违规给甲方造成的增值税、所得税等损失，由乙方承担相关责任，包括但不限于税款、滞纳金、罚款及其它相关损失。</w:t>
      </w:r>
    </w:p>
    <w:p w14:paraId="23F0313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23" w:name="_Toc25708"/>
      <w:bookmarkStart w:id="124" w:name="_Toc16330026"/>
      <w:bookmarkStart w:id="125" w:name="_Toc24085"/>
      <w:bookmarkStart w:id="126" w:name="_Toc6726"/>
      <w:r>
        <w:rPr>
          <w:rFonts w:hint="eastAsia" w:ascii="黑体" w:hAnsi="黑体" w:eastAsia="黑体" w:cs="黑体"/>
          <w:b w:val="0"/>
          <w:sz w:val="24"/>
          <w:szCs w:val="24"/>
        </w:rPr>
        <w:t>9 质量保证及售后服务</w:t>
      </w:r>
      <w:bookmarkEnd w:id="123"/>
      <w:bookmarkEnd w:id="124"/>
      <w:bookmarkEnd w:id="125"/>
      <w:bookmarkEnd w:id="126"/>
    </w:p>
    <w:p w14:paraId="6149868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68947B3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9.2卖方承诺其提供的设备不存在任何产品缺陷，否则因卖方提供的设备存在产品缺陷而给买方造成的一切后果和损失由卖方承担。</w:t>
      </w:r>
    </w:p>
    <w:p w14:paraId="0018E5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4B49783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9.4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64886E9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9.5卖方负责在买方指定的地点免费为买方培训操作及维修人员，培训内容包括：基本原理、操作使用、安全操作注意事项以及维修保养等内容。</w:t>
      </w:r>
    </w:p>
    <w:p w14:paraId="280E41D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9.6质量保证期满后，卖方保证向买方提供及时的、质优的、价格优惠的技术服务和备品备件供应。</w:t>
      </w:r>
    </w:p>
    <w:p w14:paraId="64C6B89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9.7质量保证期满后，如出现质量问题，卖方也应及时修复和更换，且只收取成本费，费用由买方承担，卖方对设备质量问题所负的责任直到设备使用寿命周期结束。</w:t>
      </w:r>
    </w:p>
    <w:p w14:paraId="508A74BB">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27" w:name="_Toc10359"/>
      <w:bookmarkStart w:id="128" w:name="_Toc12927"/>
      <w:bookmarkStart w:id="129" w:name="_Toc16330027"/>
      <w:bookmarkStart w:id="130" w:name="_Toc15570"/>
      <w:r>
        <w:rPr>
          <w:rFonts w:hint="eastAsia" w:ascii="黑体" w:hAnsi="黑体" w:eastAsia="黑体" w:cs="黑体"/>
          <w:b w:val="0"/>
          <w:sz w:val="24"/>
          <w:szCs w:val="24"/>
        </w:rPr>
        <w:t>10法定责任</w:t>
      </w:r>
      <w:bookmarkEnd w:id="127"/>
      <w:bookmarkEnd w:id="128"/>
      <w:bookmarkEnd w:id="129"/>
      <w:bookmarkEnd w:id="130"/>
      <w:r>
        <w:rPr>
          <w:rFonts w:hint="eastAsia" w:ascii="黑体" w:hAnsi="黑体" w:eastAsia="黑体" w:cs="黑体"/>
          <w:b w:val="0"/>
          <w:sz w:val="24"/>
          <w:szCs w:val="24"/>
        </w:rPr>
        <w:t>及合规责任</w:t>
      </w:r>
    </w:p>
    <w:p w14:paraId="7541171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10.1卖方需遵从国家有关的法律、法规，缴纳有关的法定费用和税项。若卖方未按期交纳法定费用、税项，则卖方须补偿买方由此造成的所有费用及损失。</w:t>
      </w:r>
    </w:p>
    <w:p w14:paraId="7CB00F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10.2除非本合同中另有规定或买方同意，卖方不得全部或部分转让本合同项下的权利义务。</w:t>
      </w:r>
    </w:p>
    <w:p w14:paraId="754ADAB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14:paraId="4310165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10.4除对方预先书面同意外，任何一方在本合同签订和履行期间或本合同终止后不得向第三方披露在本合同履行过程中知悉的与对方有关的任何商业秘密。</w:t>
      </w:r>
    </w:p>
    <w:p w14:paraId="2CA8670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10.5卖方保证截至本合同签署之日，卖方及其子公司和关联公司未被列入任何国家或者地区的政府机构或者相关国际组织等发布的限制、制裁或反制清单，未隐瞒任何阻碍及可能阻碍此次交易的相关信息。如在本合同签署后发生上述情形，卖方应当在获知被列入清单后24小时之内以书面形式通知买方。</w:t>
      </w:r>
    </w:p>
    <w:p w14:paraId="3358D5B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10.6卖方已经充分了解并确保会严格遵守开展业务所需适用国家或者地区的出口管制、经济制裁和反制裁相关法律法规（简称“出口管制与制裁法律法规”）。卖方确认不存在任何因违反所需适用国家或者地区出口管制与制裁法律或其他因卖方原因导致本合同无法履行或者延迟履行的情形。如果卖方在本合同履行过程中发生或者预见到可能发生该等情形，应当及时以书面形式告知买方。如由于卖方未履行前述义务或其他可归责于卖方的原因导致延迟履行供货或无法按照本合同约定履行供货义务，卖方应承担违约责任，并承担买方因此受到的全部损失。</w:t>
      </w:r>
    </w:p>
    <w:p w14:paraId="714465F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10.7如本合同项下卖方所销售或者提供的任何产品、零部件、软件、技术和服务（以下统称“物项”）有可能受任何国家或者地区出口管制与制裁法律法规管辖，卖方承诺遵守全部所需适用的有关规定，并确保向买方提供该等物项的合法性与合规性。对于受到出口管制管辖的物项，卖方应当书面告知买方受控物项的全部管制信息，包括但不限于原产国、发运国、ECCN、USML编码等方面的特殊限制、物项管控要求等。</w:t>
      </w:r>
    </w:p>
    <w:p w14:paraId="3D88FB2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10.8如因卖方不遵守销售物项所需适用国家或地区的出口管制与制裁法律法规及监管政策而使买方遭受任何损失、费用、索赔、处罚、诉讼因由、损害、责任和费用（包括但不限于律师费，所有诉讼和/或和解费用以及法院费用），卖方应当就此承担全部赔偿责任。买方有权视情况暂停或终止其对相关合同的履行。在该等情况下，买方不构成对相关合同的违约、且不免除卖方履行合同的义务。</w:t>
      </w:r>
    </w:p>
    <w:p w14:paraId="4F7D4B9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10.9出于项目合作目的，买方已经或将要向卖方提供有关项目的保密信息。“保密信息”指买方现在或将来向卖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卖方承诺：</w:t>
      </w:r>
    </w:p>
    <w:p w14:paraId="287B631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1）卖方</w:t>
      </w:r>
      <w:r>
        <w:rPr>
          <w:rFonts w:ascii="仿宋_GB2312" w:hAnsi="仿宋_GB2312" w:eastAsia="仿宋_GB2312" w:cs="仿宋_GB2312"/>
          <w:sz w:val="24"/>
          <w:szCs w:val="24"/>
        </w:rPr>
        <w:t>仅能将</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提供的保密信息用于本协议所约定的项目并承担保密义务。</w:t>
      </w:r>
    </w:p>
    <w:p w14:paraId="441CEB7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2）卖方</w:t>
      </w:r>
      <w:r>
        <w:rPr>
          <w:rFonts w:ascii="仿宋_GB2312" w:hAnsi="仿宋_GB2312" w:eastAsia="仿宋_GB2312" w:cs="仿宋_GB2312"/>
          <w:sz w:val="24"/>
          <w:szCs w:val="24"/>
        </w:rPr>
        <w:t>将采取有效措施使用</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提供的保密信息，只将该等保密信息提供给本方负责决策或实施合作事项的具体参与人员，</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及其相关人员不得以任何方式或形式散布、披露或传播给该范围以外的人（包括</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关联机构），也不得允许任何保密信息被泄漏、被披露、被交流。</w:t>
      </w:r>
    </w:p>
    <w:p w14:paraId="79DD281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w:t>
      </w:r>
      <w:r>
        <w:rPr>
          <w:rFonts w:ascii="仿宋_GB2312" w:hAnsi="仿宋_GB2312" w:eastAsia="仿宋_GB2312" w:cs="仿宋_GB2312"/>
          <w:sz w:val="24"/>
          <w:szCs w:val="24"/>
        </w:rPr>
        <w:t>如果</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为项目需要，而不得不向该第三方披露保密信息，则</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应事先从</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得到书面同意。</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应在披露保密信息之前，按照与本协议相同的保护程度与该第三方签署一份保密协议。若上述第三方（包括其股东、高管、雇员）发生泄密，</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应与该第三方承担连带责任。</w:t>
      </w:r>
    </w:p>
    <w:p w14:paraId="533552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w:t>
      </w:r>
      <w:r>
        <w:rPr>
          <w:rFonts w:ascii="仿宋_GB2312" w:hAnsi="仿宋_GB2312" w:eastAsia="仿宋_GB2312" w:cs="仿宋_GB2312"/>
          <w:sz w:val="24"/>
          <w:szCs w:val="24"/>
        </w:rPr>
        <w:t>如</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得悉</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的任何保密信息遭侵犯或疑似侵权，</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应立即通知</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。如果</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决定就侵权行为进行起诉，或以其他方式停止或阻止该实际或可能发生的侵权行为，</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 xml:space="preserve">尽最大限度予以协助。 </w:t>
      </w:r>
    </w:p>
    <w:p w14:paraId="3DC77A0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5）卖方</w:t>
      </w:r>
      <w:r>
        <w:rPr>
          <w:rFonts w:ascii="仿宋_GB2312" w:hAnsi="仿宋_GB2312" w:eastAsia="仿宋_GB2312" w:cs="仿宋_GB2312"/>
          <w:sz w:val="24"/>
          <w:szCs w:val="24"/>
        </w:rPr>
        <w:t>不得在世界任何地方就保密信息进行升级、变更和/或改进，亦不得直接或间接提交或促使提交专利或著作权或其它权利的申请，也不得以其名义取得或促使以其他人名义取得任何专利或其它权利注册。</w:t>
      </w:r>
    </w:p>
    <w:p w14:paraId="4F742C8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6）卖方</w:t>
      </w:r>
      <w:r>
        <w:rPr>
          <w:rFonts w:ascii="仿宋_GB2312" w:hAnsi="仿宋_GB2312" w:eastAsia="仿宋_GB2312" w:cs="仿宋_GB2312"/>
          <w:sz w:val="24"/>
          <w:szCs w:val="24"/>
        </w:rPr>
        <w:t>应遵从</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不时发出的有关使用、处理和保管保密信息的任何指令或政策，并按照</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的要求将本协议项下保密信息的使用情况向</w:t>
      </w:r>
      <w:r>
        <w:rPr>
          <w:rFonts w:hint="eastAsia" w:ascii="仿宋_GB2312" w:hAnsi="仿宋_GB2312" w:eastAsia="仿宋_GB2312" w:cs="仿宋_GB2312"/>
          <w:sz w:val="24"/>
          <w:szCs w:val="24"/>
        </w:rPr>
        <w:t>买方</w:t>
      </w:r>
      <w:r>
        <w:rPr>
          <w:rFonts w:ascii="仿宋_GB2312" w:hAnsi="仿宋_GB2312" w:eastAsia="仿宋_GB2312" w:cs="仿宋_GB2312"/>
          <w:sz w:val="24"/>
          <w:szCs w:val="24"/>
        </w:rPr>
        <w:t xml:space="preserve">汇报。 </w:t>
      </w:r>
    </w:p>
    <w:p w14:paraId="625BD1A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7）卖方</w:t>
      </w:r>
      <w:r>
        <w:rPr>
          <w:rFonts w:ascii="仿宋_GB2312" w:hAnsi="仿宋_GB2312" w:eastAsia="仿宋_GB2312" w:cs="仿宋_GB2312"/>
          <w:sz w:val="24"/>
          <w:szCs w:val="24"/>
        </w:rPr>
        <w:t>不得为第三方利益使用保密信息，不得非为实现双方合作目的使用保密信息，不得对保密信息采取任何反向工程、反向编译或反向分解等行为。</w:t>
      </w:r>
    </w:p>
    <w:p w14:paraId="45ADA91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w:t>
      </w:r>
      <w:r>
        <w:rPr>
          <w:rFonts w:ascii="仿宋_GB2312" w:hAnsi="仿宋_GB2312" w:eastAsia="仿宋_GB2312" w:cs="仿宋_GB2312"/>
          <w:sz w:val="24"/>
          <w:szCs w:val="24"/>
        </w:rPr>
        <w:t>双方合作期间形成的与本协议有关的任何信息和数据受本协议约束。</w:t>
      </w:r>
    </w:p>
    <w:p w14:paraId="505C425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10.10卖方在双方合作期间严格承诺遵循中国国家法律法规和政策规章的要求，确保数据合规，始终遵循数据搜集、存储、使用、处理、传输的合法性原则、正当性和必要性原则、透明度原则、安全性原则和数据主体权利保障原则，确保合同签约履约过程中所涉及到的所有个人隐私、个人信息与敏感信息、企业商业数据、大数据分析结果、公共数据等均得到尊重和保护。卖方承诺：</w:t>
      </w:r>
    </w:p>
    <w:p w14:paraId="4C92774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w:t>
      </w:r>
      <w:r>
        <w:rPr>
          <w:rFonts w:ascii="仿宋_GB2312" w:hAnsi="仿宋_GB2312" w:eastAsia="仿宋_GB2312" w:cs="仿宋_GB2312"/>
          <w:sz w:val="24"/>
          <w:szCs w:val="24"/>
        </w:rPr>
        <w:t>数据收集必须基于合法授权，</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需向数据主体明确告知数据用途，并获得明确同意</w:t>
      </w:r>
      <w:r>
        <w:rPr>
          <w:rFonts w:hint="eastAsia" w:ascii="仿宋_GB2312" w:hAnsi="仿宋_GB2312" w:eastAsia="仿宋_GB2312" w:cs="仿宋_GB2312"/>
          <w:sz w:val="24"/>
          <w:szCs w:val="24"/>
        </w:rPr>
        <w:t>；卖方处理数据应当符合法律、法规和强制性标准的规定，不得从事危害国家安全、公共利益的数据处理活动，不得非法收集、使用、加工、传输、买卖、提供、公开他人个人信息，不得通过误导、欺诈、胁迫等方式处理个人信息。‌</w:t>
      </w:r>
    </w:p>
    <w:p w14:paraId="5395DA8F">
      <w:pPr>
        <w:spacing w:line="360" w:lineRule="auto"/>
        <w:ind w:firstLine="480" w:firstLineChars="200"/>
        <w:rPr>
          <w:rFonts w:ascii="仿宋_GB2312" w:hAnsi="仿宋_GB2312" w:eastAsia="仿宋_GB2312" w:cs="仿宋_GB2312"/>
          <w:sz w:val="24"/>
          <w:szCs w:val="24"/>
        </w:rPr>
      </w:pPr>
      <w:r>
        <w:rPr>
          <w:rFonts w:ascii="仿宋_GB2312" w:hAnsi="仿宋_GB2312" w:eastAsia="仿宋_GB2312" w:cs="仿宋_GB2312"/>
          <w:sz w:val="24"/>
          <w:szCs w:val="24"/>
        </w:rPr>
        <w:t>2）</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在存储数据时需采取严格的安全措施，</w:t>
      </w:r>
      <w:r>
        <w:rPr>
          <w:rFonts w:hint="eastAsia" w:ascii="仿宋_GB2312" w:hAnsi="仿宋_GB2312" w:eastAsia="仿宋_GB2312" w:cs="仿宋_GB2312"/>
          <w:sz w:val="24"/>
          <w:szCs w:val="24"/>
        </w:rPr>
        <w:t>通过</w:t>
      </w:r>
      <w:r>
        <w:rPr>
          <w:rFonts w:ascii="仿宋_GB2312" w:hAnsi="仿宋_GB2312" w:eastAsia="仿宋_GB2312" w:cs="仿宋_GB2312"/>
          <w:sz w:val="24"/>
          <w:szCs w:val="24"/>
        </w:rPr>
        <w:t>加密、访问控制等措施确保数据的完整性和机密性</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在使用和传输数据时，</w:t>
      </w:r>
      <w:r>
        <w:rPr>
          <w:rFonts w:hint="eastAsia" w:ascii="仿宋_GB2312" w:hAnsi="仿宋_GB2312" w:eastAsia="仿宋_GB2312" w:cs="仿宋_GB2312"/>
          <w:sz w:val="24"/>
          <w:szCs w:val="24"/>
        </w:rPr>
        <w:t>卖方</w:t>
      </w:r>
      <w:r>
        <w:rPr>
          <w:rFonts w:ascii="仿宋_GB2312" w:hAnsi="仿宋_GB2312" w:eastAsia="仿宋_GB2312" w:cs="仿宋_GB2312"/>
          <w:sz w:val="24"/>
          <w:szCs w:val="24"/>
        </w:rPr>
        <w:t>需确保数据使用符合收集时的声明，不得超出必要范围</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跨境数据传输时，需符合法律规定的合规要求。</w:t>
      </w:r>
      <w:r>
        <w:rPr>
          <w:rFonts w:hint="eastAsia" w:ascii="仿宋_GB2312" w:hAnsi="仿宋_GB2312" w:eastAsia="仿宋_GB2312" w:cs="仿宋_GB2312"/>
          <w:sz w:val="24"/>
          <w:szCs w:val="24"/>
        </w:rPr>
        <w:t>卖方需</w:t>
      </w:r>
      <w:r>
        <w:rPr>
          <w:rFonts w:ascii="仿宋_GB2312" w:hAnsi="仿宋_GB2312" w:eastAsia="仿宋_GB2312" w:cs="仿宋_GB2312"/>
          <w:sz w:val="24"/>
          <w:szCs w:val="24"/>
        </w:rPr>
        <w:t>确保数据的收集、存储、使用、传输和销毁等过程符合法律要求，防止数据泄露、滥用和侵犯个人隐私，遵守相关的法律法规、行业准则和道德规范，以保护数据主体的合法权益</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w:t>
      </w:r>
    </w:p>
    <w:p w14:paraId="730210B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w:t>
      </w:r>
      <w:r>
        <w:rPr>
          <w:rFonts w:ascii="仿宋_GB2312" w:hAnsi="仿宋_GB2312" w:eastAsia="仿宋_GB2312" w:cs="仿宋_GB2312"/>
          <w:sz w:val="24"/>
          <w:szCs w:val="24"/>
        </w:rPr>
        <w:t>）</w:t>
      </w:r>
      <w:r>
        <w:rPr>
          <w:rFonts w:hint="eastAsia" w:ascii="仿宋_GB2312" w:hAnsi="仿宋_GB2312" w:eastAsia="仿宋_GB2312" w:cs="仿宋_GB2312"/>
          <w:sz w:val="24"/>
          <w:szCs w:val="24"/>
        </w:rPr>
        <w:t>如需要</w:t>
      </w:r>
      <w:r>
        <w:rPr>
          <w:rFonts w:ascii="仿宋_GB2312" w:hAnsi="仿宋_GB2312" w:eastAsia="仿宋_GB2312" w:cs="仿宋_GB2312"/>
          <w:sz w:val="24"/>
          <w:szCs w:val="24"/>
        </w:rPr>
        <w:t>数据共享</w:t>
      </w:r>
      <w:r>
        <w:rPr>
          <w:rFonts w:hint="eastAsia" w:ascii="仿宋_GB2312" w:hAnsi="仿宋_GB2312" w:eastAsia="仿宋_GB2312" w:cs="仿宋_GB2312"/>
          <w:sz w:val="24"/>
          <w:szCs w:val="24"/>
        </w:rPr>
        <w:t>时</w:t>
      </w:r>
      <w:r>
        <w:rPr>
          <w:rFonts w:ascii="仿宋_GB2312" w:hAnsi="仿宋_GB2312" w:eastAsia="仿宋_GB2312" w:cs="仿宋_GB2312"/>
          <w:sz w:val="24"/>
          <w:szCs w:val="24"/>
        </w:rPr>
        <w:t>需</w:t>
      </w:r>
      <w:r>
        <w:rPr>
          <w:rFonts w:hint="eastAsia" w:ascii="仿宋_GB2312" w:hAnsi="仿宋_GB2312" w:eastAsia="仿宋_GB2312" w:cs="仿宋_GB2312"/>
          <w:sz w:val="24"/>
          <w:szCs w:val="24"/>
        </w:rPr>
        <w:t>取得买方的书面同意并</w:t>
      </w:r>
      <w:r>
        <w:rPr>
          <w:rFonts w:ascii="仿宋_GB2312" w:hAnsi="仿宋_GB2312" w:eastAsia="仿宋_GB2312" w:cs="仿宋_GB2312"/>
          <w:sz w:val="24"/>
          <w:szCs w:val="24"/>
        </w:rPr>
        <w:t>确保各方在使用数据时符合合规要求</w:t>
      </w:r>
      <w:r>
        <w:rPr>
          <w:rFonts w:hint="eastAsia" w:ascii="仿宋_GB2312" w:hAnsi="仿宋_GB2312" w:eastAsia="仿宋_GB2312" w:cs="仿宋_GB2312"/>
          <w:sz w:val="24"/>
          <w:szCs w:val="24"/>
        </w:rPr>
        <w:t>；</w:t>
      </w:r>
      <w:r>
        <w:rPr>
          <w:rFonts w:ascii="仿宋_GB2312" w:hAnsi="仿宋_GB2312" w:eastAsia="仿宋_GB2312" w:cs="仿宋_GB2312"/>
          <w:sz w:val="24"/>
          <w:szCs w:val="24"/>
        </w:rPr>
        <w:t>当数据不再需要时，</w:t>
      </w:r>
      <w:r>
        <w:rPr>
          <w:rFonts w:hint="eastAsia" w:ascii="仿宋_GB2312" w:hAnsi="仿宋_GB2312" w:eastAsia="仿宋_GB2312" w:cs="仿宋_GB2312"/>
          <w:sz w:val="24"/>
          <w:szCs w:val="24"/>
        </w:rPr>
        <w:t>卖方需</w:t>
      </w:r>
      <w:r>
        <w:rPr>
          <w:rFonts w:ascii="仿宋_GB2312" w:hAnsi="仿宋_GB2312" w:eastAsia="仿宋_GB2312" w:cs="仿宋_GB2312"/>
          <w:sz w:val="24"/>
          <w:szCs w:val="24"/>
        </w:rPr>
        <w:t>采取适当的措施彻底销毁数据，防止其被恢复和滥用。</w:t>
      </w:r>
    </w:p>
    <w:p w14:paraId="6FD1CF92">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1" w:name="_Toc16330028"/>
      <w:bookmarkStart w:id="132" w:name="_Toc27314"/>
      <w:bookmarkStart w:id="133" w:name="_Toc9708"/>
      <w:bookmarkStart w:id="134" w:name="_Toc30381"/>
      <w:r>
        <w:rPr>
          <w:rFonts w:hint="eastAsia" w:ascii="黑体" w:hAnsi="黑体" w:eastAsia="黑体" w:cs="黑体"/>
          <w:b w:val="0"/>
          <w:sz w:val="24"/>
          <w:szCs w:val="24"/>
        </w:rPr>
        <w:t>11 违约责任</w:t>
      </w:r>
      <w:bookmarkEnd w:id="131"/>
      <w:bookmarkEnd w:id="132"/>
      <w:bookmarkEnd w:id="133"/>
      <w:bookmarkEnd w:id="134"/>
    </w:p>
    <w:p w14:paraId="113C37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11.1卖方应承担提供的设备与本合同约定不符的一切责任，买方有权在检验、安装、调试、验收测试期限内、质量保证期内等任何时间提出索赔，买方有权按下述一种或多种方法要求卖方赔偿：</w:t>
      </w:r>
    </w:p>
    <w:p w14:paraId="7BC6FB5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609CC7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11.1.2根据设备的瑕疵和受损程度以及买方遭受损失的金额，经买方同意降低设备价格。</w:t>
      </w:r>
    </w:p>
    <w:p w14:paraId="6FD149F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3B531A0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11.2如果买方就卖方的设备质量问题提出索赔通知后10日内卖方未能予以答复，该索赔视为已被卖方接受。若卖方未能在买方提出索赔通知后10日内或买方同意的更长一些的时间内，按买方同意的上述任何一种方式处理索赔事宜，买方将从货款中扣回索赔金额，同时保留进一步要求赔偿的权利。</w:t>
      </w:r>
    </w:p>
    <w:p w14:paraId="15E5EB4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11.3如果卖方未能按期到货，卖方应向买方支付违约金，违约金比率为每迟交壹日，按合同总价的10‰计算，如违约金金额超过合同总价款的20%，买方有权就卖方违约而解除本合同，且卖方仍须支付上述违约金，并赔偿由此给买方造成的一切损失。</w:t>
      </w:r>
    </w:p>
    <w:p w14:paraId="03E61D7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11.4如卖方未按合同专用条款1.5条履行义务，从逾期之日起卖方每天按合同总价款的10‰支付给买方违约金，如违约金金额超过合同总价款的20%或者设备未能通过最终验收，买方有权就卖方违约而解除本合同，且卖方仍须支付上述违约金，并返还买方支付的设备款，并赔偿由此给买方造成的一切损失。</w:t>
      </w:r>
    </w:p>
    <w:p w14:paraId="1BA91C6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11.5买方延期付款时（有正当拒付理由者除外），每日按延付金额的3‰向卖方偿付延期付款违约金，但违约金总额不超过延付金额的50‰。</w:t>
      </w:r>
    </w:p>
    <w:p w14:paraId="3577C47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11.6如卖方违反合同通用条款9.4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5BB65DF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11.7因发票违规给买方造成的增值税、所得税等损失，由卖方承担相关责任，包括但不限于税款、滞纳金、罚款及其它相关损失。</w:t>
      </w:r>
    </w:p>
    <w:p w14:paraId="0D45179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11.8如果卖方违反本合同的上述约定或其他约定（包括本合同及所有附件）的，除应按本合同约定赔偿损失及违约金外，还应赔偿包括但不限于买方因此支出的或预计支付的诉讼费、保全申请费、保全保险费、鉴定费、评估费、司法审计费、拍卖费、律师费等一切费用。</w:t>
      </w:r>
    </w:p>
    <w:p w14:paraId="0E1B696E">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5" w:name="_Toc16330029"/>
      <w:bookmarkStart w:id="136" w:name="_Toc31554"/>
      <w:bookmarkStart w:id="137" w:name="_Toc9172"/>
      <w:bookmarkStart w:id="138" w:name="_Toc1827"/>
      <w:r>
        <w:rPr>
          <w:rFonts w:hint="eastAsia" w:ascii="黑体" w:hAnsi="黑体" w:eastAsia="黑体" w:cs="黑体"/>
          <w:b w:val="0"/>
          <w:sz w:val="24"/>
          <w:szCs w:val="24"/>
        </w:rPr>
        <w:t>12 合同的终止与解除</w:t>
      </w:r>
      <w:bookmarkEnd w:id="135"/>
      <w:bookmarkEnd w:id="136"/>
      <w:bookmarkEnd w:id="137"/>
      <w:bookmarkEnd w:id="138"/>
    </w:p>
    <w:p w14:paraId="5118876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12.1本合同订立后，卖方由于履行义务的能力或信用有严重缺陷，买方可以终止履行本合同，要求卖方返还已支付的款项并不承担违约责任。</w:t>
      </w:r>
    </w:p>
    <w:p w14:paraId="0C0C904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12.2经双方协商一致，可以解除本合同。</w:t>
      </w:r>
    </w:p>
    <w:p w14:paraId="546D964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12.3有下列情形之一的，买方可以解除本合同：</w:t>
      </w:r>
    </w:p>
    <w:p w14:paraId="2A90515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12.3.1卖方明确表示或者以自己的行为表明不履行交货、安装、调试、培训等主要义务的，或足以影响买方使用设备的行为的；</w:t>
      </w:r>
    </w:p>
    <w:p w14:paraId="460D6C1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12.3.2卖方所交付的设备不符合本合同约定的质量要求或屡次验收不合格或达不到验收标准的；</w:t>
      </w:r>
    </w:p>
    <w:p w14:paraId="4480BB4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12.3.3卖方发生本合同约定的解除情形的；</w:t>
      </w:r>
    </w:p>
    <w:p w14:paraId="70D9ED1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12.3.4卖方有其他违约行为。</w:t>
      </w:r>
    </w:p>
    <w:p w14:paraId="17453BD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12.4卖方分批交付设备的，卖方对其中一批设备不交付或者交付不符合约定，致使该批设备不能实现本合同目的的，买方可以就该批设备解除合同。</w:t>
      </w:r>
    </w:p>
    <w:p w14:paraId="374DD2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12.5卖方不交付其中一批设备或者交付不符合约定，致使今后其他各批设备的交付不能实现本合同目的的，买方可以就该批以及今后其他各批设备解除合同。</w:t>
      </w:r>
    </w:p>
    <w:p w14:paraId="27D7638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12.6买方如果就其中一批设备解除合同，该批设备与其他各批设备相互依存的，可以就已经交付和未交付的各批设备解除合同。</w:t>
      </w:r>
    </w:p>
    <w:p w14:paraId="0646A34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12.7因为卖方违约导致买方解除合同的，卖方应赔偿买方因此所遭受的一切损失。</w:t>
      </w:r>
    </w:p>
    <w:p w14:paraId="34AE0553">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39" w:name="_Toc8620"/>
      <w:bookmarkStart w:id="140" w:name="_Toc16330030"/>
      <w:bookmarkStart w:id="141" w:name="_Toc31945"/>
      <w:bookmarkStart w:id="142" w:name="_Toc13671"/>
      <w:r>
        <w:rPr>
          <w:rFonts w:hint="eastAsia" w:ascii="黑体" w:hAnsi="黑体" w:eastAsia="黑体" w:cs="黑体"/>
          <w:b w:val="0"/>
          <w:sz w:val="24"/>
          <w:szCs w:val="24"/>
        </w:rPr>
        <w:t>13 不可抗力</w:t>
      </w:r>
      <w:bookmarkEnd w:id="139"/>
      <w:bookmarkEnd w:id="140"/>
      <w:bookmarkEnd w:id="141"/>
      <w:bookmarkEnd w:id="142"/>
    </w:p>
    <w:p w14:paraId="65DFD4D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2A799DE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13.2各方应该通过协商决定是否终止本合同，或推迟全部或部分本合同的履行或免除对方全部或部分相关履行义务。</w:t>
      </w:r>
    </w:p>
    <w:p w14:paraId="437E2706">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43" w:name="_Toc16330031"/>
      <w:bookmarkStart w:id="144" w:name="_Toc31243"/>
      <w:bookmarkStart w:id="145" w:name="_Toc637"/>
      <w:bookmarkStart w:id="146" w:name="_Toc30389"/>
      <w:r>
        <w:rPr>
          <w:rFonts w:hint="eastAsia" w:ascii="黑体" w:hAnsi="黑体" w:eastAsia="黑体" w:cs="黑体"/>
          <w:b w:val="0"/>
          <w:sz w:val="24"/>
          <w:szCs w:val="24"/>
        </w:rPr>
        <w:t>14 通讯</w:t>
      </w:r>
      <w:bookmarkEnd w:id="143"/>
      <w:bookmarkEnd w:id="144"/>
      <w:bookmarkEnd w:id="145"/>
      <w:bookmarkEnd w:id="146"/>
    </w:p>
    <w:p w14:paraId="3CAEDEF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14.1通讯地址：</w:t>
      </w:r>
    </w:p>
    <w:p w14:paraId="6DAB451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本合同下的任何通讯按照本合同双方提供的信息，以书信、传真、电子通讯方式或电话作出。</w:t>
      </w:r>
    </w:p>
    <w:p w14:paraId="046EA8D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14.2生效</w:t>
      </w:r>
    </w:p>
    <w:p w14:paraId="2D0C721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14.2.1书信。书信为送达时生效；</w:t>
      </w:r>
    </w:p>
    <w:p w14:paraId="33086B8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14.2.2传真。发送人取得成功传输的信息时生效；</w:t>
      </w:r>
    </w:p>
    <w:p w14:paraId="07E62C9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14.2.3电子邮件。电子邮件于发送之时生效，前提是寄件者于该邮件发送后24小时内没有收到发送失败通知；</w:t>
      </w:r>
    </w:p>
    <w:p w14:paraId="0ADEA8E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14.2.4电话。电话于打出时生效，以电话作出的任何通讯必须以书信、传真或电子邮件确认，如果没有发送或者接收该确认不会使原有通讯失效。</w:t>
      </w:r>
    </w:p>
    <w:p w14:paraId="494B403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14.3书面法律证据。根据本合同以书信、传真或电子邮件方式送达任何订约方的任何通讯，将作为书面法律证据。</w:t>
      </w:r>
    </w:p>
    <w:p w14:paraId="56F2F8A5">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47" w:name="_Toc11290"/>
      <w:bookmarkStart w:id="148" w:name="_Toc16330032"/>
      <w:bookmarkStart w:id="149" w:name="_Toc9915"/>
      <w:bookmarkStart w:id="150" w:name="_Toc12984"/>
      <w:r>
        <w:rPr>
          <w:rFonts w:hint="eastAsia" w:ascii="黑体" w:hAnsi="黑体" w:eastAsia="黑体" w:cs="黑体"/>
          <w:b w:val="0"/>
          <w:sz w:val="24"/>
          <w:szCs w:val="24"/>
        </w:rPr>
        <w:t>15 适用法律及争议解决</w:t>
      </w:r>
      <w:bookmarkEnd w:id="147"/>
      <w:bookmarkEnd w:id="148"/>
      <w:bookmarkEnd w:id="149"/>
      <w:bookmarkEnd w:id="150"/>
    </w:p>
    <w:p w14:paraId="6E195E9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15.1本合同条款的效力和解释适用中华人民共和国法律。</w:t>
      </w:r>
    </w:p>
    <w:p w14:paraId="696868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15.2双方同意将本着诚信的态度协商解决本合同履行过程中产生的任何争议。如果争议事项不能通过双方协商解决，本合同双方同意采用向买方所在地人民法院提起诉讼的方式解决。</w:t>
      </w:r>
    </w:p>
    <w:p w14:paraId="4B61F677">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1" w:name="_Toc23765"/>
      <w:bookmarkStart w:id="152" w:name="_Toc16330033"/>
      <w:bookmarkStart w:id="153" w:name="_Toc18207"/>
      <w:bookmarkStart w:id="154" w:name="_Toc23906"/>
      <w:r>
        <w:rPr>
          <w:rFonts w:hint="eastAsia" w:ascii="黑体" w:hAnsi="黑体" w:eastAsia="黑体" w:cs="黑体"/>
          <w:b w:val="0"/>
          <w:sz w:val="24"/>
          <w:szCs w:val="24"/>
        </w:rPr>
        <w:t>16 附件</w:t>
      </w:r>
      <w:bookmarkEnd w:id="151"/>
      <w:bookmarkEnd w:id="152"/>
      <w:bookmarkEnd w:id="153"/>
      <w:bookmarkEnd w:id="154"/>
    </w:p>
    <w:p w14:paraId="0F6DC3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本合同及其附件构成双方关于本合同标的之全部协议，包括但不限于下列文件：</w:t>
      </w:r>
    </w:p>
    <w:p w14:paraId="51A6495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16.1技术协议书；</w:t>
      </w:r>
    </w:p>
    <w:p w14:paraId="4DEEA7F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16.2合同设备一览表；</w:t>
      </w:r>
    </w:p>
    <w:p w14:paraId="3650A1B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16.3卖方中标的设备投标书以及一切书面承诺；</w:t>
      </w:r>
    </w:p>
    <w:p w14:paraId="773874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16.4招标文件。</w:t>
      </w:r>
    </w:p>
    <w:p w14:paraId="7288488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上述附件内容与本合同约定有冲突的，以本合同约定为准。</w:t>
      </w:r>
    </w:p>
    <w:p w14:paraId="55BADEB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本合同及上述附件内容与固定资产设备项目偏差索赔细则有冲突的，以固定资产设备项目偏差索赔细则约定为准。</w:t>
      </w:r>
    </w:p>
    <w:p w14:paraId="5511A34D">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bookmarkStart w:id="155" w:name="_Toc17656"/>
      <w:bookmarkStart w:id="156" w:name="_Toc31331"/>
      <w:bookmarkStart w:id="157" w:name="_Toc16330034"/>
      <w:bookmarkStart w:id="158" w:name="_Toc27202"/>
      <w:r>
        <w:rPr>
          <w:rFonts w:hint="eastAsia" w:ascii="黑体" w:hAnsi="黑体" w:eastAsia="黑体" w:cs="黑体"/>
          <w:b w:val="0"/>
          <w:sz w:val="24"/>
          <w:szCs w:val="24"/>
        </w:rPr>
        <w:t>17 其他规定</w:t>
      </w:r>
      <w:bookmarkEnd w:id="155"/>
      <w:bookmarkEnd w:id="156"/>
      <w:bookmarkEnd w:id="157"/>
      <w:bookmarkEnd w:id="158"/>
    </w:p>
    <w:p w14:paraId="572D27F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17.1本合同及其附件构成了双方就本合同所含交易而达成的全部合同，并取代双方先前与该等交易有关的全部口头和书面合同。</w:t>
      </w:r>
    </w:p>
    <w:p w14:paraId="3A722C6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17.2如果本合同的任何条款和条件在任何时间成为非法、无效或不可强制执行的，则其他条款不应受其影响。</w:t>
      </w:r>
    </w:p>
    <w:p w14:paraId="6BE06FC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17.3除非另有规定，一方未行使或迟延行使本合同项下的权利、权力或特权并不构成放弃这些权利、权力和特权，而单一或部分行使这些权利、权力和特权并不排斥行使任何其他权利、权力和特权。</w:t>
      </w:r>
    </w:p>
    <w:p w14:paraId="3B86BEBA">
      <w:pPr>
        <w:spacing w:line="360" w:lineRule="auto"/>
        <w:ind w:firstLine="480" w:firstLineChars="200"/>
        <w:rPr>
          <w:rFonts w:ascii="仿宋_GB2312" w:hAnsi="仿宋_GB2312" w:eastAsia="仿宋_GB2312" w:cs="仿宋_GB2312"/>
          <w:sz w:val="24"/>
          <w:szCs w:val="24"/>
        </w:rPr>
      </w:pPr>
      <w:bookmarkStart w:id="159" w:name="_Toc19077"/>
      <w:bookmarkStart w:id="160" w:name="_Toc29136"/>
      <w:bookmarkStart w:id="161" w:name="_Toc17952"/>
      <w:bookmarkStart w:id="162" w:name="_Toc16330035"/>
      <w:r>
        <w:rPr>
          <w:rFonts w:hint="eastAsia" w:ascii="仿宋_GB2312" w:hAnsi="仿宋_GB2312" w:eastAsia="仿宋_GB2312" w:cs="仿宋_GB2312"/>
          <w:sz w:val="24"/>
          <w:szCs w:val="24"/>
        </w:rPr>
        <w:t>17.4监造，在合同设备的制造过程中，买方有权派出代表对合同设备制造过程中的关键工序进行质量监督，卖方有配合买方监造的义务。</w:t>
      </w:r>
    </w:p>
    <w:p w14:paraId="1A16EFC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094C4F9A">
      <w:pPr>
        <w:pStyle w:val="2"/>
        <w:keepNext w:val="0"/>
        <w:keepLines w:val="0"/>
        <w:pageBreakBefore w:val="0"/>
        <w:widowControl w:val="0"/>
        <w:tabs>
          <w:tab w:val="right" w:leader="dot" w:pos="9061"/>
        </w:tabs>
        <w:kinsoku/>
        <w:wordWrap/>
        <w:overflowPunct/>
        <w:topLinePunct w:val="0"/>
        <w:autoSpaceDE/>
        <w:autoSpaceDN/>
        <w:bidi w:val="0"/>
        <w:ind w:left="0" w:firstLine="480" w:firstLineChars="200"/>
        <w:jc w:val="left"/>
        <w:textAlignment w:val="auto"/>
        <w:rPr>
          <w:rFonts w:ascii="黑体" w:hAnsi="黑体" w:eastAsia="黑体" w:cs="黑体"/>
          <w:b w:val="0"/>
          <w:sz w:val="24"/>
          <w:szCs w:val="24"/>
        </w:rPr>
      </w:pPr>
      <w:r>
        <w:rPr>
          <w:rFonts w:hint="eastAsia" w:ascii="黑体" w:hAnsi="黑体" w:eastAsia="黑体" w:cs="黑体"/>
          <w:b w:val="0"/>
          <w:sz w:val="24"/>
          <w:szCs w:val="24"/>
        </w:rPr>
        <w:t>18 签署事项</w:t>
      </w:r>
      <w:bookmarkEnd w:id="159"/>
      <w:bookmarkEnd w:id="160"/>
      <w:bookmarkEnd w:id="161"/>
      <w:bookmarkEnd w:id="162"/>
    </w:p>
    <w:p w14:paraId="09315AD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或协议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w:t>
      </w:r>
      <w:r>
        <w:rPr>
          <w:rFonts w:hint="eastAsia" w:ascii="仿宋_GB2312" w:hAnsi="仿宋_GB2312" w:eastAsia="仿宋_GB2312" w:cs="仿宋_GB2312"/>
          <w:sz w:val="24"/>
        </w:rPr>
        <w:t>所有的手写涂改、一方擅自增加、删改、篡改部分无效（电子签名除外）</w:t>
      </w:r>
      <w:r>
        <w:rPr>
          <w:rFonts w:hint="eastAsia" w:ascii="仿宋_GB2312" w:hAnsi="仿宋_GB2312" w:eastAsia="仿宋_GB2312" w:cs="仿宋_GB2312"/>
          <w:sz w:val="24"/>
          <w:szCs w:val="24"/>
        </w:rPr>
        <w:t>。</w:t>
      </w:r>
    </w:p>
    <w:p w14:paraId="032A6C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若一方不使用电子签约，此情形下各方认可并同意电子签章与在纸质合同上手写签名或者盖章具有同等的法律效力，一方在合同上使用电子签章，另一方将已完成电子签章的合同打印纸质合同后，再于合同签署处加盖实物印章、手写签名视为双方签署完毕。</w:t>
      </w:r>
    </w:p>
    <w:p w14:paraId="79ED45E0">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60F3A29C">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27BAD8D8">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2B7607D9">
      <w:pPr>
        <w:widowControl/>
        <w:adjustRightInd w:val="0"/>
        <w:snapToGrid w:val="0"/>
        <w:spacing w:line="360" w:lineRule="auto"/>
        <w:ind w:firstLine="480" w:firstLineChars="200"/>
        <w:jc w:val="left"/>
        <w:rPr>
          <w:rFonts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3" w:edGrp="everyone"/>
      <w:r>
        <w:rPr>
          <w:rFonts w:hint="eastAsia" w:ascii="仿宋_GB2312" w:hAnsi="宋体" w:eastAsia="仿宋_GB2312"/>
          <w:b/>
          <w:bCs/>
          <w:snapToGrid w:val="0"/>
          <w:kern w:val="0"/>
          <w:sz w:val="24"/>
          <w:szCs w:val="24"/>
          <w:u w:val="single"/>
        </w:rPr>
        <w:t>甲方单位全称</w:t>
      </w:r>
      <w:permEnd w:id="53"/>
    </w:p>
    <w:p w14:paraId="215C58B4">
      <w:pPr>
        <w:widowControl/>
        <w:adjustRightInd w:val="0"/>
        <w:snapToGrid w:val="0"/>
        <w:spacing w:line="360" w:lineRule="auto"/>
        <w:ind w:firstLine="482" w:firstLineChars="200"/>
        <w:jc w:val="left"/>
        <w:rPr>
          <w:rFonts w:ascii="仿宋_GB2312" w:hAnsi="宋体" w:eastAsia="仿宋_GB2312"/>
          <w:b/>
          <w:bCs/>
          <w:snapToGrid w:val="0"/>
          <w:kern w:val="0"/>
          <w:sz w:val="24"/>
          <w:szCs w:val="24"/>
          <w:u w:val="single"/>
        </w:rPr>
      </w:pPr>
    </w:p>
    <w:p w14:paraId="300CC765">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甲方代表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7427310E">
      <w:pPr>
        <w:widowControl/>
        <w:adjustRightInd w:val="0"/>
        <w:snapToGrid w:val="0"/>
        <w:spacing w:line="360" w:lineRule="auto"/>
        <w:ind w:firstLine="480" w:firstLineChars="200"/>
        <w:jc w:val="left"/>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263C7CB0">
      <w:pPr>
        <w:widowControl/>
        <w:adjustRightInd w:val="0"/>
        <w:snapToGrid w:val="0"/>
        <w:spacing w:line="360" w:lineRule="auto"/>
        <w:ind w:firstLine="480" w:firstLineChars="200"/>
        <w:jc w:val="left"/>
        <w:rPr>
          <w:rFonts w:ascii="仿宋_GB2312" w:hAnsi="宋体" w:eastAsia="仿宋_GB2312"/>
          <w:snapToGrid w:val="0"/>
          <w:kern w:val="0"/>
          <w:sz w:val="24"/>
          <w:szCs w:val="24"/>
          <w:lang w:eastAsia="zh-Hans"/>
        </w:rPr>
      </w:pPr>
    </w:p>
    <w:p w14:paraId="6CDBC39B">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kern w:val="0"/>
          <w:sz w:val="24"/>
          <w:szCs w:val="24"/>
          <w:lang w:eastAsia="zh-Hans"/>
        </w:rPr>
        <w:t xml:space="preserve">     </w:t>
      </w:r>
    </w:p>
    <w:p w14:paraId="6102F375">
      <w:pPr>
        <w:widowControl/>
        <w:adjustRightInd w:val="0"/>
        <w:snapToGrid w:val="0"/>
        <w:spacing w:line="360" w:lineRule="auto"/>
        <w:ind w:firstLine="480" w:firstLineChars="200"/>
        <w:jc w:val="left"/>
        <w:rPr>
          <w:rFonts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ermStart w:id="54" w:edGrp="everyone"/>
      <w:r>
        <w:rPr>
          <w:rFonts w:hint="eastAsia" w:ascii="仿宋_GB2312" w:hAnsi="仿宋_GB2312" w:eastAsia="仿宋_GB2312" w:cs="仿宋_GB2312"/>
          <w:b/>
          <w:bCs/>
          <w:sz w:val="24"/>
          <w:szCs w:val="24"/>
          <w:u w:val="single"/>
        </w:rPr>
        <w:t>乙方单位全称</w:t>
      </w:r>
      <w:permEnd w:id="54"/>
    </w:p>
    <w:p w14:paraId="1257B5A2">
      <w:pPr>
        <w:widowControl/>
        <w:adjustRightInd w:val="0"/>
        <w:snapToGrid w:val="0"/>
        <w:spacing w:line="360" w:lineRule="auto"/>
        <w:ind w:firstLine="482" w:firstLineChars="200"/>
        <w:jc w:val="left"/>
        <w:rPr>
          <w:rFonts w:ascii="仿宋_GB2312" w:hAnsi="仿宋_GB2312" w:eastAsia="仿宋_GB2312" w:cs="仿宋_GB2312"/>
          <w:b/>
          <w:bCs/>
          <w:sz w:val="24"/>
          <w:szCs w:val="24"/>
          <w:u w:val="single"/>
        </w:rPr>
      </w:pPr>
    </w:p>
    <w:p w14:paraId="6BC65FFC">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r>
        <w:rPr>
          <w:rFonts w:hint="eastAsia" w:ascii="仿宋_GB2312" w:hAnsi="宋体" w:eastAsia="仿宋_GB2312"/>
          <w:snapToGrid w:val="0"/>
          <w:color w:val="000000"/>
          <w:kern w:val="0"/>
          <w:sz w:val="24"/>
          <w:szCs w:val="24"/>
        </w:rPr>
        <w:t>乙方代表</w:t>
      </w:r>
      <w:r>
        <w:rPr>
          <w:rFonts w:hint="eastAsia" w:ascii="仿宋_GB2312" w:hAnsi="宋体" w:eastAsia="仿宋_GB2312"/>
          <w:snapToGrid w:val="0"/>
          <w:color w:val="000000"/>
          <w:kern w:val="0"/>
          <w:sz w:val="24"/>
          <w:szCs w:val="24"/>
          <w:lang w:eastAsia="zh-Hans"/>
        </w:rPr>
        <w:t xml:space="preserve">（签字）：   </w:t>
      </w:r>
    </w:p>
    <w:p w14:paraId="01A1C991">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p>
    <w:p w14:paraId="7FDC9FD2">
      <w:pPr>
        <w:rPr>
          <w:rFonts w:ascii="黑体" w:hAnsi="黑体" w:eastAsia="黑体" w:cstheme="minorEastAsia"/>
          <w:sz w:val="28"/>
          <w:szCs w:val="28"/>
        </w:rPr>
        <w:sectPr>
          <w:pgSz w:w="11907" w:h="16840"/>
          <w:pgMar w:top="1304" w:right="1418" w:bottom="1304" w:left="1418" w:header="724" w:footer="851" w:gutter="0"/>
          <w:cols w:space="720" w:num="1"/>
          <w:docGrid w:linePitch="290" w:charSpace="-3931"/>
        </w:sectPr>
      </w:pPr>
    </w:p>
    <w:p w14:paraId="39334BA8">
      <w:pPr>
        <w:rPr>
          <w:highlight w:val="yellow"/>
        </w:rPr>
      </w:pPr>
      <w:r>
        <w:rPr>
          <w:rFonts w:hint="eastAsia" w:ascii="黑体" w:hAnsi="黑体" w:eastAsia="黑体" w:cstheme="minorEastAsia"/>
          <w:sz w:val="28"/>
          <w:szCs w:val="28"/>
        </w:rPr>
        <w:t>附件一：设备清单明细表【作为附件另附】</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3"/>
        <w:gridCol w:w="694"/>
        <w:gridCol w:w="725"/>
        <w:gridCol w:w="643"/>
        <w:gridCol w:w="978"/>
        <w:gridCol w:w="960"/>
        <w:gridCol w:w="896"/>
        <w:gridCol w:w="808"/>
        <w:gridCol w:w="915"/>
        <w:gridCol w:w="621"/>
        <w:gridCol w:w="621"/>
      </w:tblGrid>
      <w:tr w14:paraId="063B1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12" w:type="dxa"/>
            <w:vAlign w:val="center"/>
          </w:tcPr>
          <w:p w14:paraId="2B550FEE">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序号</w:t>
            </w:r>
          </w:p>
        </w:tc>
        <w:tc>
          <w:tcPr>
            <w:tcW w:w="756" w:type="dxa"/>
            <w:vAlign w:val="center"/>
          </w:tcPr>
          <w:p w14:paraId="57599EFA">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产品及部件名称</w:t>
            </w:r>
          </w:p>
        </w:tc>
        <w:tc>
          <w:tcPr>
            <w:tcW w:w="790" w:type="dxa"/>
            <w:vAlign w:val="center"/>
          </w:tcPr>
          <w:p w14:paraId="759759CC">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规格型号及技术参数</w:t>
            </w:r>
          </w:p>
        </w:tc>
        <w:tc>
          <w:tcPr>
            <w:tcW w:w="701" w:type="dxa"/>
            <w:vAlign w:val="center"/>
          </w:tcPr>
          <w:p w14:paraId="26480986">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单位</w:t>
            </w:r>
          </w:p>
        </w:tc>
        <w:tc>
          <w:tcPr>
            <w:tcW w:w="1066" w:type="dxa"/>
            <w:vAlign w:val="center"/>
          </w:tcPr>
          <w:p w14:paraId="30F8CDF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数量</w:t>
            </w:r>
          </w:p>
        </w:tc>
        <w:tc>
          <w:tcPr>
            <w:tcW w:w="1046" w:type="dxa"/>
            <w:vAlign w:val="center"/>
          </w:tcPr>
          <w:p w14:paraId="2799F63B">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不含税</w:t>
            </w:r>
          </w:p>
          <w:p w14:paraId="7963F0E4">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977" w:type="dxa"/>
            <w:vAlign w:val="center"/>
          </w:tcPr>
          <w:p w14:paraId="1C0DD399">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税率</w:t>
            </w:r>
          </w:p>
        </w:tc>
        <w:tc>
          <w:tcPr>
            <w:tcW w:w="881" w:type="dxa"/>
            <w:vAlign w:val="center"/>
          </w:tcPr>
          <w:p w14:paraId="646F7D36">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税额</w:t>
            </w:r>
          </w:p>
        </w:tc>
        <w:tc>
          <w:tcPr>
            <w:tcW w:w="997" w:type="dxa"/>
            <w:vAlign w:val="center"/>
          </w:tcPr>
          <w:p w14:paraId="42748E34">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含税</w:t>
            </w:r>
          </w:p>
          <w:p w14:paraId="26FE775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677" w:type="dxa"/>
            <w:vAlign w:val="center"/>
          </w:tcPr>
          <w:p w14:paraId="45586101">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品牌</w:t>
            </w:r>
          </w:p>
        </w:tc>
        <w:tc>
          <w:tcPr>
            <w:tcW w:w="677" w:type="dxa"/>
            <w:vAlign w:val="center"/>
          </w:tcPr>
          <w:p w14:paraId="1233192C">
            <w:pPr>
              <w:pStyle w:val="24"/>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其他</w:t>
            </w:r>
          </w:p>
        </w:tc>
      </w:tr>
      <w:tr w14:paraId="6FB30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4E4CCAE6">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1</w:t>
            </w:r>
          </w:p>
        </w:tc>
        <w:tc>
          <w:tcPr>
            <w:tcW w:w="756" w:type="dxa"/>
            <w:vAlign w:val="center"/>
          </w:tcPr>
          <w:p w14:paraId="77456F19">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3E61C248">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59934641">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2A15BF25">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510AF153">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1AF732BB">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13BDA0C0">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0B14F7A4">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4141C0CA">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074375B2">
            <w:pPr>
              <w:pStyle w:val="24"/>
              <w:spacing w:line="360" w:lineRule="auto"/>
              <w:ind w:left="0" w:firstLine="0" w:firstLineChars="0"/>
              <w:jc w:val="center"/>
              <w:rPr>
                <w:rFonts w:ascii="仿宋_GB2312" w:eastAsia="仿宋_GB2312" w:hAnsiTheme="minorEastAsia" w:cstheme="minorEastAsia"/>
              </w:rPr>
            </w:pPr>
          </w:p>
        </w:tc>
      </w:tr>
      <w:tr w14:paraId="4FFAC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372B33D4">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2</w:t>
            </w:r>
          </w:p>
        </w:tc>
        <w:tc>
          <w:tcPr>
            <w:tcW w:w="756" w:type="dxa"/>
            <w:vAlign w:val="center"/>
          </w:tcPr>
          <w:p w14:paraId="688489AF">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401558E6">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33FCC3F3">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0A792B61">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31000F26">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4B433302">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649A34F1">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10C75CA5">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02EF79D1">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67408AF6">
            <w:pPr>
              <w:pStyle w:val="24"/>
              <w:spacing w:line="360" w:lineRule="auto"/>
              <w:ind w:left="0" w:firstLine="0" w:firstLineChars="0"/>
              <w:jc w:val="center"/>
              <w:rPr>
                <w:rFonts w:ascii="仿宋_GB2312" w:eastAsia="仿宋_GB2312" w:hAnsiTheme="minorEastAsia" w:cstheme="minorEastAsia"/>
              </w:rPr>
            </w:pPr>
          </w:p>
        </w:tc>
      </w:tr>
      <w:tr w14:paraId="01A9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7ADCF164">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w:t>
            </w:r>
          </w:p>
        </w:tc>
        <w:tc>
          <w:tcPr>
            <w:tcW w:w="756" w:type="dxa"/>
            <w:vAlign w:val="center"/>
          </w:tcPr>
          <w:p w14:paraId="5D1DD40A">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0AB72B70">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0828F78E">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5668AAC8">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4F0A226E">
            <w:pPr>
              <w:pStyle w:val="24"/>
              <w:spacing w:line="360" w:lineRule="auto"/>
              <w:ind w:left="0" w:firstLine="0" w:firstLineChars="0"/>
              <w:jc w:val="center"/>
              <w:rPr>
                <w:rFonts w:ascii="仿宋_GB2312" w:eastAsia="仿宋_GB2312" w:hAnsiTheme="minorEastAsia" w:cstheme="minorEastAsia"/>
              </w:rPr>
            </w:pPr>
          </w:p>
        </w:tc>
        <w:tc>
          <w:tcPr>
            <w:tcW w:w="977" w:type="dxa"/>
            <w:vAlign w:val="center"/>
          </w:tcPr>
          <w:p w14:paraId="29544344">
            <w:pPr>
              <w:pStyle w:val="24"/>
              <w:spacing w:line="360" w:lineRule="auto"/>
              <w:ind w:left="0" w:firstLine="0" w:firstLineChars="0"/>
              <w:jc w:val="center"/>
              <w:rPr>
                <w:rFonts w:ascii="仿宋_GB2312" w:eastAsia="仿宋_GB2312" w:hAnsiTheme="minorEastAsia" w:cstheme="minorEastAsia"/>
              </w:rPr>
            </w:pPr>
          </w:p>
        </w:tc>
        <w:tc>
          <w:tcPr>
            <w:tcW w:w="881" w:type="dxa"/>
            <w:vAlign w:val="center"/>
          </w:tcPr>
          <w:p w14:paraId="09526CC9">
            <w:pPr>
              <w:pStyle w:val="24"/>
              <w:spacing w:line="360" w:lineRule="auto"/>
              <w:ind w:left="0" w:firstLine="0" w:firstLineChars="0"/>
              <w:jc w:val="center"/>
              <w:rPr>
                <w:rFonts w:ascii="仿宋_GB2312" w:eastAsia="仿宋_GB2312" w:hAnsiTheme="minorEastAsia" w:cstheme="minorEastAsia"/>
              </w:rPr>
            </w:pPr>
          </w:p>
        </w:tc>
        <w:tc>
          <w:tcPr>
            <w:tcW w:w="997" w:type="dxa"/>
            <w:vAlign w:val="center"/>
          </w:tcPr>
          <w:p w14:paraId="4BCE155B">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76CA59CB">
            <w:pPr>
              <w:pStyle w:val="24"/>
              <w:spacing w:line="360" w:lineRule="auto"/>
              <w:ind w:left="0" w:firstLine="0" w:firstLineChars="0"/>
              <w:jc w:val="center"/>
              <w:rPr>
                <w:rFonts w:ascii="仿宋_GB2312" w:eastAsia="仿宋_GB2312" w:hAnsiTheme="minorEastAsia" w:cstheme="minorEastAsia"/>
              </w:rPr>
            </w:pPr>
          </w:p>
        </w:tc>
        <w:tc>
          <w:tcPr>
            <w:tcW w:w="677" w:type="dxa"/>
            <w:vAlign w:val="center"/>
          </w:tcPr>
          <w:p w14:paraId="6B3AF36A">
            <w:pPr>
              <w:pStyle w:val="24"/>
              <w:spacing w:line="360" w:lineRule="auto"/>
              <w:ind w:left="0" w:firstLine="0" w:firstLineChars="0"/>
              <w:jc w:val="center"/>
              <w:rPr>
                <w:rFonts w:ascii="仿宋_GB2312" w:eastAsia="仿宋_GB2312" w:hAnsiTheme="minorEastAsia" w:cstheme="minorEastAsia"/>
              </w:rPr>
            </w:pPr>
          </w:p>
        </w:tc>
      </w:tr>
      <w:tr w14:paraId="38F7A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00BD19B3">
            <w:pPr>
              <w:pStyle w:val="24"/>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合计</w:t>
            </w:r>
          </w:p>
        </w:tc>
        <w:tc>
          <w:tcPr>
            <w:tcW w:w="756" w:type="dxa"/>
            <w:vAlign w:val="center"/>
          </w:tcPr>
          <w:p w14:paraId="1303554C">
            <w:pPr>
              <w:pStyle w:val="24"/>
              <w:spacing w:line="360" w:lineRule="auto"/>
              <w:ind w:left="0" w:firstLine="0" w:firstLineChars="0"/>
              <w:jc w:val="center"/>
              <w:rPr>
                <w:rFonts w:ascii="仿宋_GB2312" w:eastAsia="仿宋_GB2312" w:hAnsiTheme="minorEastAsia" w:cstheme="minorEastAsia"/>
              </w:rPr>
            </w:pPr>
          </w:p>
        </w:tc>
        <w:tc>
          <w:tcPr>
            <w:tcW w:w="790" w:type="dxa"/>
            <w:vAlign w:val="center"/>
          </w:tcPr>
          <w:p w14:paraId="44284974">
            <w:pPr>
              <w:pStyle w:val="24"/>
              <w:spacing w:line="360" w:lineRule="auto"/>
              <w:ind w:left="0" w:firstLine="0" w:firstLineChars="0"/>
              <w:jc w:val="center"/>
              <w:rPr>
                <w:rFonts w:ascii="仿宋_GB2312" w:eastAsia="仿宋_GB2312" w:hAnsiTheme="minorEastAsia" w:cstheme="minorEastAsia"/>
              </w:rPr>
            </w:pPr>
          </w:p>
        </w:tc>
        <w:tc>
          <w:tcPr>
            <w:tcW w:w="701" w:type="dxa"/>
            <w:vAlign w:val="center"/>
          </w:tcPr>
          <w:p w14:paraId="70499AB5">
            <w:pPr>
              <w:pStyle w:val="24"/>
              <w:spacing w:line="360" w:lineRule="auto"/>
              <w:ind w:left="0" w:firstLine="0" w:firstLineChars="0"/>
              <w:jc w:val="center"/>
              <w:rPr>
                <w:rFonts w:ascii="仿宋_GB2312" w:eastAsia="仿宋_GB2312" w:hAnsiTheme="minorEastAsia" w:cstheme="minorEastAsia"/>
              </w:rPr>
            </w:pPr>
          </w:p>
        </w:tc>
        <w:tc>
          <w:tcPr>
            <w:tcW w:w="1066" w:type="dxa"/>
            <w:vAlign w:val="center"/>
          </w:tcPr>
          <w:p w14:paraId="294B8E43">
            <w:pPr>
              <w:pStyle w:val="24"/>
              <w:spacing w:line="360" w:lineRule="auto"/>
              <w:ind w:left="0" w:firstLine="0" w:firstLineChars="0"/>
              <w:jc w:val="center"/>
              <w:rPr>
                <w:rFonts w:ascii="仿宋_GB2312" w:eastAsia="仿宋_GB2312" w:hAnsiTheme="minorEastAsia" w:cstheme="minorEastAsia"/>
              </w:rPr>
            </w:pPr>
          </w:p>
        </w:tc>
        <w:tc>
          <w:tcPr>
            <w:tcW w:w="1046" w:type="dxa"/>
            <w:vAlign w:val="center"/>
          </w:tcPr>
          <w:p w14:paraId="26586690">
            <w:pPr>
              <w:spacing w:line="360" w:lineRule="auto"/>
              <w:jc w:val="center"/>
              <w:rPr>
                <w:rFonts w:ascii="仿宋_GB2312" w:eastAsia="仿宋_GB2312" w:hAnsiTheme="minorEastAsia" w:cstheme="minorEastAsia"/>
              </w:rPr>
            </w:pPr>
          </w:p>
        </w:tc>
        <w:tc>
          <w:tcPr>
            <w:tcW w:w="977" w:type="dxa"/>
            <w:vAlign w:val="center"/>
          </w:tcPr>
          <w:p w14:paraId="68DF70CC">
            <w:pPr>
              <w:spacing w:line="360" w:lineRule="auto"/>
              <w:jc w:val="center"/>
              <w:rPr>
                <w:rFonts w:ascii="仿宋_GB2312" w:eastAsia="仿宋_GB2312" w:hAnsiTheme="minorEastAsia" w:cstheme="minorEastAsia"/>
              </w:rPr>
            </w:pPr>
          </w:p>
        </w:tc>
        <w:tc>
          <w:tcPr>
            <w:tcW w:w="881" w:type="dxa"/>
            <w:vAlign w:val="center"/>
          </w:tcPr>
          <w:p w14:paraId="01AAF5AF">
            <w:pPr>
              <w:spacing w:line="360" w:lineRule="auto"/>
              <w:jc w:val="center"/>
              <w:rPr>
                <w:rFonts w:ascii="仿宋_GB2312" w:eastAsia="仿宋_GB2312" w:hAnsiTheme="minorEastAsia" w:cstheme="minorEastAsia"/>
              </w:rPr>
            </w:pPr>
          </w:p>
        </w:tc>
        <w:tc>
          <w:tcPr>
            <w:tcW w:w="997" w:type="dxa"/>
            <w:vAlign w:val="center"/>
          </w:tcPr>
          <w:p w14:paraId="203A787B">
            <w:pPr>
              <w:spacing w:line="360" w:lineRule="auto"/>
              <w:jc w:val="center"/>
              <w:rPr>
                <w:rFonts w:ascii="仿宋_GB2312" w:eastAsia="仿宋_GB2312" w:hAnsiTheme="minorEastAsia" w:cstheme="minorEastAsia"/>
              </w:rPr>
            </w:pPr>
          </w:p>
        </w:tc>
        <w:tc>
          <w:tcPr>
            <w:tcW w:w="677" w:type="dxa"/>
            <w:vAlign w:val="center"/>
          </w:tcPr>
          <w:p w14:paraId="5BD1B3F5">
            <w:pPr>
              <w:spacing w:line="360" w:lineRule="auto"/>
              <w:jc w:val="center"/>
              <w:rPr>
                <w:rFonts w:ascii="仿宋_GB2312" w:eastAsia="仿宋_GB2312" w:hAnsiTheme="minorEastAsia" w:cstheme="minorEastAsia"/>
              </w:rPr>
            </w:pPr>
          </w:p>
        </w:tc>
        <w:tc>
          <w:tcPr>
            <w:tcW w:w="677" w:type="dxa"/>
            <w:vAlign w:val="center"/>
          </w:tcPr>
          <w:p w14:paraId="2EA2DC8C">
            <w:pPr>
              <w:spacing w:line="360" w:lineRule="auto"/>
              <w:jc w:val="center"/>
              <w:rPr>
                <w:rFonts w:ascii="仿宋_GB2312" w:eastAsia="仿宋_GB2312" w:hAnsiTheme="minorEastAsia" w:cstheme="minorEastAsia"/>
              </w:rPr>
            </w:pPr>
          </w:p>
        </w:tc>
      </w:tr>
    </w:tbl>
    <w:p w14:paraId="197E7A65">
      <w:pPr>
        <w:pStyle w:val="2"/>
        <w:keepNext w:val="0"/>
        <w:keepLines w:val="0"/>
        <w:pageBreakBefore w:val="0"/>
        <w:widowControl w:val="0"/>
        <w:tabs>
          <w:tab w:val="right" w:leader="dot" w:pos="9061"/>
        </w:tabs>
        <w:kinsoku/>
        <w:wordWrap/>
        <w:overflowPunct/>
        <w:topLinePunct w:val="0"/>
        <w:autoSpaceDE/>
        <w:autoSpaceDN/>
        <w:bidi w:val="0"/>
        <w:ind w:left="0" w:firstLine="402" w:firstLineChars="200"/>
        <w:jc w:val="left"/>
        <w:textAlignment w:val="auto"/>
        <w:rPr>
          <w:rFonts w:asciiTheme="minorEastAsia" w:hAnsiTheme="minorEastAsia" w:eastAsiaTheme="minorEastAsia" w:cstheme="minorEastAsia"/>
          <w:sz w:val="20"/>
        </w:rPr>
      </w:pPr>
    </w:p>
    <w:p w14:paraId="61580EA6">
      <w:pPr>
        <w:rPr>
          <w:rFonts w:asciiTheme="minorEastAsia" w:hAnsiTheme="minorEastAsia" w:eastAsiaTheme="minorEastAsia" w:cstheme="minorEastAsia"/>
          <w:sz w:val="20"/>
        </w:rPr>
      </w:pPr>
    </w:p>
    <w:p w14:paraId="72F527CB">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lang w:eastAsia="zh-Hans"/>
        </w:rPr>
      </w:pPr>
    </w:p>
    <w:p w14:paraId="3CEC3A63">
      <w:pPr>
        <w:widowControl/>
        <w:adjustRightInd w:val="0"/>
        <w:snapToGrid w:val="0"/>
        <w:spacing w:line="360" w:lineRule="auto"/>
        <w:ind w:firstLine="480" w:firstLineChars="200"/>
        <w:jc w:val="left"/>
        <w:rPr>
          <w:rFonts w:ascii="仿宋_GB2312" w:hAnsi="仿宋_GB2312" w:eastAsia="仿宋_GB2312" w:cs="仿宋_GB2312"/>
          <w:b/>
          <w:bCs/>
          <w:snapToGrid w:val="0"/>
          <w:kern w:val="0"/>
          <w:sz w:val="24"/>
          <w:szCs w:val="24"/>
          <w:u w:val="single"/>
        </w:rPr>
      </w:pPr>
      <w:r>
        <w:rPr>
          <w:rFonts w:hint="eastAsia" w:ascii="仿宋_GB2312" w:hAnsi="仿宋_GB2312" w:eastAsia="仿宋_GB2312" w:cs="仿宋_GB2312"/>
          <w:snapToGrid w:val="0"/>
          <w:kern w:val="0"/>
          <w:sz w:val="24"/>
          <w:szCs w:val="24"/>
          <w:lang w:eastAsia="zh-Hans"/>
        </w:rPr>
        <w:t>甲方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bCs/>
          <w:snapToGrid w:val="0"/>
          <w:kern w:val="0"/>
          <w:sz w:val="24"/>
          <w:szCs w:val="24"/>
          <w:u w:val="single"/>
        </w:rPr>
        <w:t>甲方单位全称</w:t>
      </w:r>
    </w:p>
    <w:p w14:paraId="0A69A0D8">
      <w:pPr>
        <w:widowControl/>
        <w:adjustRightInd w:val="0"/>
        <w:snapToGrid w:val="0"/>
        <w:spacing w:line="360" w:lineRule="auto"/>
        <w:ind w:firstLine="482" w:firstLineChars="200"/>
        <w:jc w:val="left"/>
        <w:rPr>
          <w:rFonts w:ascii="仿宋_GB2312" w:hAnsi="仿宋_GB2312" w:eastAsia="仿宋_GB2312" w:cs="仿宋_GB2312"/>
          <w:b/>
          <w:bCs/>
          <w:snapToGrid w:val="0"/>
          <w:kern w:val="0"/>
          <w:sz w:val="24"/>
          <w:szCs w:val="24"/>
          <w:u w:val="single"/>
        </w:rPr>
      </w:pPr>
    </w:p>
    <w:p w14:paraId="5E50A901">
      <w:pPr>
        <w:widowControl/>
        <w:adjustRightInd w:val="0"/>
        <w:snapToGrid w:val="0"/>
        <w:spacing w:line="36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napToGrid w:val="0"/>
          <w:color w:val="000000"/>
          <w:kern w:val="0"/>
          <w:sz w:val="24"/>
          <w:szCs w:val="24"/>
        </w:rPr>
        <w:t>甲方代表</w:t>
      </w:r>
      <w:r>
        <w:rPr>
          <w:rFonts w:hint="eastAsia" w:ascii="仿宋_GB2312" w:hAnsi="仿宋_GB2312" w:eastAsia="仿宋_GB2312" w:cs="仿宋_GB2312"/>
          <w:snapToGrid w:val="0"/>
          <w:color w:val="000000"/>
          <w:kern w:val="0"/>
          <w:sz w:val="24"/>
          <w:szCs w:val="24"/>
          <w:lang w:eastAsia="zh-Hans"/>
        </w:rPr>
        <w:t xml:space="preserve">（签字）： </w:t>
      </w:r>
    </w:p>
    <w:p w14:paraId="63A33DE2">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24A04DEB">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0A29E231">
      <w:pPr>
        <w:widowControl/>
        <w:adjustRightInd w:val="0"/>
        <w:snapToGrid w:val="0"/>
        <w:spacing w:line="360" w:lineRule="auto"/>
        <w:ind w:firstLine="480" w:firstLineChars="200"/>
        <w:jc w:val="left"/>
        <w:rPr>
          <w:rFonts w:ascii="仿宋_GB2312" w:hAnsi="仿宋_GB2312" w:eastAsia="仿宋_GB2312" w:cs="仿宋_GB2312"/>
          <w:snapToGrid w:val="0"/>
          <w:kern w:val="0"/>
          <w:sz w:val="24"/>
          <w:szCs w:val="24"/>
        </w:rPr>
      </w:pPr>
    </w:p>
    <w:p w14:paraId="5AB35969">
      <w:pPr>
        <w:widowControl/>
        <w:adjustRightInd w:val="0"/>
        <w:snapToGrid w:val="0"/>
        <w:spacing w:line="360" w:lineRule="auto"/>
        <w:ind w:firstLine="480" w:firstLineChars="200"/>
        <w:jc w:val="left"/>
        <w:rPr>
          <w:rFonts w:ascii="仿宋_GB2312" w:hAnsi="仿宋_GB2312" w:eastAsia="仿宋_GB2312" w:cs="仿宋_GB2312"/>
          <w:b/>
          <w:sz w:val="24"/>
          <w:szCs w:val="24"/>
          <w:u w:val="single"/>
        </w:rPr>
      </w:pPr>
      <w:r>
        <w:rPr>
          <w:rFonts w:hint="eastAsia" w:ascii="仿宋_GB2312" w:hAnsi="仿宋_GB2312" w:eastAsia="仿宋_GB2312" w:cs="仿宋_GB2312"/>
          <w:snapToGrid w:val="0"/>
          <w:kern w:val="0"/>
          <w:sz w:val="24"/>
          <w:szCs w:val="24"/>
        </w:rPr>
        <w:t>乙</w:t>
      </w:r>
      <w:r>
        <w:rPr>
          <w:rFonts w:hint="eastAsia" w:ascii="仿宋_GB2312" w:hAnsi="仿宋_GB2312" w:eastAsia="仿宋_GB2312" w:cs="仿宋_GB2312"/>
          <w:snapToGrid w:val="0"/>
          <w:kern w:val="0"/>
          <w:sz w:val="24"/>
          <w:szCs w:val="24"/>
          <w:lang w:eastAsia="zh-Hans"/>
        </w:rPr>
        <w:t>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sz w:val="24"/>
          <w:szCs w:val="24"/>
          <w:u w:val="single"/>
        </w:rPr>
        <w:t>乙方单位全称</w:t>
      </w:r>
    </w:p>
    <w:p w14:paraId="461CFAE4">
      <w:pPr>
        <w:widowControl/>
        <w:adjustRightInd w:val="0"/>
        <w:snapToGrid w:val="0"/>
        <w:spacing w:line="360" w:lineRule="auto"/>
        <w:ind w:firstLine="482" w:firstLineChars="200"/>
        <w:jc w:val="left"/>
        <w:rPr>
          <w:rFonts w:ascii="仿宋_GB2312" w:hAnsi="仿宋_GB2312" w:eastAsia="仿宋_GB2312" w:cs="仿宋_GB2312"/>
          <w:b/>
          <w:sz w:val="24"/>
          <w:szCs w:val="24"/>
          <w:u w:val="single"/>
        </w:rPr>
      </w:pPr>
    </w:p>
    <w:p w14:paraId="65810D83">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r>
        <w:rPr>
          <w:rFonts w:hint="eastAsia" w:ascii="仿宋_GB2312" w:hAnsi="仿宋_GB2312" w:eastAsia="仿宋_GB2312" w:cs="仿宋_GB2312"/>
          <w:snapToGrid w:val="0"/>
          <w:color w:val="000000"/>
          <w:kern w:val="0"/>
          <w:sz w:val="24"/>
          <w:szCs w:val="24"/>
        </w:rPr>
        <w:t>乙方代表</w:t>
      </w:r>
      <w:r>
        <w:rPr>
          <w:rFonts w:hint="eastAsia" w:ascii="仿宋_GB2312" w:hAnsi="仿宋_GB2312" w:eastAsia="仿宋_GB2312" w:cs="仿宋_GB2312"/>
          <w:snapToGrid w:val="0"/>
          <w:color w:val="000000"/>
          <w:kern w:val="0"/>
          <w:sz w:val="24"/>
          <w:szCs w:val="24"/>
          <w:lang w:eastAsia="zh-Hans"/>
        </w:rPr>
        <w:t xml:space="preserve">（签字）： </w:t>
      </w:r>
    </w:p>
    <w:p w14:paraId="755A2FD5">
      <w:pPr>
        <w:widowControl/>
        <w:adjustRightInd w:val="0"/>
        <w:snapToGrid w:val="0"/>
        <w:spacing w:line="360" w:lineRule="auto"/>
        <w:ind w:firstLine="480" w:firstLineChars="200"/>
        <w:jc w:val="left"/>
        <w:rPr>
          <w:rFonts w:ascii="仿宋_GB2312" w:hAnsi="仿宋_GB2312" w:eastAsia="仿宋_GB2312" w:cs="仿宋_GB2312"/>
          <w:snapToGrid w:val="0"/>
          <w:color w:val="000000"/>
          <w:kern w:val="0"/>
          <w:sz w:val="24"/>
          <w:szCs w:val="24"/>
          <w:lang w:eastAsia="zh-Hans"/>
        </w:rPr>
      </w:pPr>
    </w:p>
    <w:p w14:paraId="4AFDF4DB">
      <w:pPr>
        <w:widowControl/>
        <w:adjustRightInd w:val="0"/>
        <w:snapToGrid w:val="0"/>
        <w:spacing w:line="360" w:lineRule="auto"/>
        <w:jc w:val="left"/>
        <w:rPr>
          <w:rFonts w:ascii="仿宋_GB2312" w:hAnsi="仿宋_GB2312" w:eastAsia="仿宋_GB2312" w:cs="仿宋_GB2312"/>
          <w:snapToGrid w:val="0"/>
          <w:color w:val="000000"/>
          <w:kern w:val="0"/>
          <w:sz w:val="24"/>
          <w:szCs w:val="24"/>
          <w:lang w:eastAsia="zh-Hans"/>
        </w:rPr>
      </w:pPr>
    </w:p>
    <w:p w14:paraId="74626A93">
      <w:pPr>
        <w:widowControl/>
        <w:jc w:val="left"/>
        <w:rPr>
          <w:rFonts w:ascii="黑体" w:hAnsi="黑体" w:eastAsia="黑体" w:cstheme="minorEastAsia"/>
          <w:sz w:val="28"/>
          <w:szCs w:val="28"/>
        </w:rPr>
      </w:pPr>
    </w:p>
    <w:p w14:paraId="2EDB6DA6">
      <w:pPr>
        <w:widowControl/>
        <w:jc w:val="left"/>
        <w:rPr>
          <w:rFonts w:ascii="黑体" w:hAnsi="黑体" w:eastAsia="黑体" w:cstheme="minorEastAsia"/>
          <w:sz w:val="28"/>
          <w:szCs w:val="28"/>
        </w:rPr>
      </w:pPr>
    </w:p>
    <w:p w14:paraId="38F5A88E">
      <w:pPr>
        <w:widowControl/>
        <w:jc w:val="left"/>
        <w:rPr>
          <w:rFonts w:ascii="黑体" w:hAnsi="黑体" w:eastAsia="黑体" w:cstheme="minorEastAsia"/>
          <w:sz w:val="28"/>
          <w:szCs w:val="28"/>
        </w:rPr>
      </w:pPr>
    </w:p>
    <w:p w14:paraId="4B5483F2">
      <w:pPr>
        <w:widowControl/>
        <w:spacing w:line="300" w:lineRule="auto"/>
        <w:ind w:firstLine="643" w:firstLineChars="200"/>
        <w:jc w:val="center"/>
        <w:outlineLvl w:val="2"/>
        <w:rPr>
          <w:rFonts w:ascii="方正小标宋简体" w:hAnsi="方正小标宋简体" w:eastAsia="方正小标宋简体" w:cs="方正小标宋简体"/>
          <w:b/>
          <w:bCs/>
          <w:kern w:val="0"/>
          <w:sz w:val="32"/>
          <w:szCs w:val="32"/>
        </w:rPr>
      </w:pPr>
      <w:r>
        <w:rPr>
          <w:rFonts w:hint="eastAsia" w:ascii="方正小标宋简体" w:hAnsi="方正小标宋简体" w:eastAsia="方正小标宋简体" w:cs="方正小标宋简体"/>
          <w:b/>
          <w:bCs/>
          <w:kern w:val="0"/>
          <w:sz w:val="32"/>
          <w:szCs w:val="32"/>
        </w:rPr>
        <w:t xml:space="preserve">附件二 </w:t>
      </w:r>
      <w:r>
        <w:rPr>
          <w:rFonts w:ascii="方正小标宋简体" w:hAnsi="方正小标宋简体" w:eastAsia="方正小标宋简体" w:cs="方正小标宋简体"/>
          <w:b/>
          <w:bCs/>
          <w:kern w:val="0"/>
          <w:sz w:val="32"/>
          <w:szCs w:val="32"/>
        </w:rPr>
        <w:t xml:space="preserve"> 固定资产</w:t>
      </w:r>
      <w:r>
        <w:rPr>
          <w:rFonts w:hint="eastAsia" w:ascii="方正小标宋简体" w:hAnsi="方正小标宋简体" w:eastAsia="方正小标宋简体" w:cs="方正小标宋简体"/>
          <w:b/>
          <w:bCs/>
          <w:kern w:val="0"/>
          <w:sz w:val="32"/>
          <w:szCs w:val="32"/>
        </w:rPr>
        <w:t>设备</w:t>
      </w:r>
      <w:r>
        <w:rPr>
          <w:rFonts w:ascii="方正小标宋简体" w:hAnsi="方正小标宋简体" w:eastAsia="方正小标宋简体" w:cs="方正小标宋简体"/>
          <w:b/>
          <w:bCs/>
          <w:kern w:val="0"/>
          <w:sz w:val="32"/>
          <w:szCs w:val="32"/>
        </w:rPr>
        <w:t>项目偏差索赔细则</w:t>
      </w:r>
    </w:p>
    <w:p w14:paraId="0E4BAECD">
      <w:pPr>
        <w:spacing w:line="300" w:lineRule="auto"/>
        <w:ind w:firstLine="480" w:firstLineChars="200"/>
        <w:rPr>
          <w:rFonts w:ascii="仿宋_GB2312" w:eastAsia="仿宋_GB2312"/>
          <w:sz w:val="24"/>
          <w:szCs w:val="24"/>
        </w:rPr>
      </w:pPr>
      <w:r>
        <w:rPr>
          <w:rFonts w:hint="eastAsia" w:ascii="仿宋_GB2312" w:hAnsi="仿宋_GB2312" w:eastAsia="仿宋_GB2312" w:cs="仿宋_GB2312"/>
          <w:kern w:val="0"/>
          <w:sz w:val="24"/>
          <w:szCs w:val="24"/>
          <w:lang w:bidi="ar"/>
        </w:rPr>
        <w:t>为规范固定资产项目实施过程中，因卖方原因导致设备各项重要技术指标、项目进度出现偏差，造成项目延期交付或无法通过验收等情况，经协商一致，就索赔扣款事宜订立本细则，双方共同遵守。</w:t>
      </w:r>
    </w:p>
    <w:p w14:paraId="30CD902A">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一、固定资产投资项目偏差及索赔细则</w:t>
      </w:r>
    </w:p>
    <w:p w14:paraId="2D950998">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（一）非标设备、产线等生产类固定资产投资项目</w:t>
      </w:r>
    </w:p>
    <w:p w14:paraId="041D02AA">
      <w:pPr>
        <w:widowControl/>
        <w:spacing w:line="300" w:lineRule="auto"/>
        <w:ind w:firstLine="482" w:firstLineChars="200"/>
        <w:jc w:val="left"/>
        <w:outlineLvl w:val="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1、产能节拍偏差</w:t>
      </w:r>
    </w:p>
    <w:p w14:paraId="4DF17681">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1.1基准值</w:t>
      </w:r>
      <w:r>
        <w:rPr>
          <w:rFonts w:hint="eastAsia" w:ascii="仿宋_GB2312" w:hAnsi="仿宋_GB2312" w:eastAsia="仿宋_GB2312" w:cs="仿宋_GB2312"/>
          <w:sz w:val="24"/>
          <w:szCs w:val="24"/>
        </w:rPr>
        <w:t>：</w:t>
      </w:r>
    </w:p>
    <w:p w14:paraId="31ADAE6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产能节拍是指特定时间段内，生产线或生产工序必须完成一个单位产品所需要的时间间隔，以合同/技术协议内的节拍时间（秒/件）为准。</w:t>
      </w:r>
    </w:p>
    <w:p w14:paraId="4F90DC57">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1.2节拍偏差率核算公式</w:t>
      </w:r>
      <w:r>
        <w:rPr>
          <w:rFonts w:hint="eastAsia" w:ascii="仿宋_GB2312" w:hAnsi="仿宋_GB2312" w:eastAsia="仿宋_GB2312" w:cs="仿宋_GB2312"/>
          <w:sz w:val="24"/>
          <w:szCs w:val="24"/>
        </w:rPr>
        <w:t>：</w:t>
      </w:r>
    </w:p>
    <w:p w14:paraId="6A072C4A">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节拍偏差率=（实际节拍-约定节拍）÷约定节拍×100%</w:t>
      </w:r>
    </w:p>
    <w:p w14:paraId="0C680373">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1.3扣款规则</w:t>
      </w:r>
      <w:r>
        <w:rPr>
          <w:rFonts w:hint="eastAsia" w:ascii="仿宋_GB2312" w:hAnsi="仿宋_GB2312" w:eastAsia="仿宋_GB2312" w:cs="仿宋_GB2312"/>
          <w:sz w:val="24"/>
          <w:szCs w:val="24"/>
        </w:rPr>
        <w:t>：</w:t>
      </w:r>
    </w:p>
    <w:p w14:paraId="4391BBE0">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节拍偏差率≤3%：视为允许偏差，不扣款；</w:t>
      </w:r>
    </w:p>
    <w:p w14:paraId="6033BEE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节拍偏差率3%＜偏差率≤10%：偏差每超出1%，扣减设备合同价款的1%；</w:t>
      </w:r>
    </w:p>
    <w:p w14:paraId="422B6294">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节拍偏差率10%＜偏差率≤30%：属重大偏差，偏差每超出1%，扣减设备合同价款的1%；买方有权全部或部分不予验收付款，买方视情况选择解除合同或继续执行合同；</w:t>
      </w:r>
    </w:p>
    <w:p w14:paraId="78B5680E">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节拍偏差率＞30%：属根本违约，买方有权不予验收、不予付款，并有权单方解除合同。</w:t>
      </w:r>
    </w:p>
    <w:p w14:paraId="7AE3959D">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当项目涉及多个产品需进行节拍验收时，参照双方在合同内约定的各个产品节拍偏离扣款基数；如无明确约定，按扣款比例=(节拍超差产品数量/需验收节拍产品数量)*100%进行折算。</w:t>
      </w:r>
    </w:p>
    <w:p w14:paraId="798BF86D">
      <w:pPr>
        <w:widowControl/>
        <w:spacing w:line="300" w:lineRule="auto"/>
        <w:ind w:firstLine="482" w:firstLineChars="200"/>
        <w:jc w:val="left"/>
        <w:outlineLvl w:val="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2、自动化率偏差</w:t>
      </w:r>
    </w:p>
    <w:p w14:paraId="4422ADF9">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2.1基准值</w:t>
      </w:r>
      <w:r>
        <w:rPr>
          <w:rFonts w:hint="eastAsia" w:ascii="仿宋_GB2312" w:hAnsi="仿宋_GB2312" w:eastAsia="仿宋_GB2312" w:cs="仿宋_GB2312"/>
          <w:sz w:val="24"/>
          <w:szCs w:val="24"/>
        </w:rPr>
        <w:t>：</w:t>
      </w:r>
    </w:p>
    <w:p w14:paraId="26E51A5D">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自动化率是指设备在完成其预定功能时不需要人工干预的程度，以合同</w:t>
      </w:r>
      <w:r>
        <w:rPr>
          <w:rFonts w:hint="eastAsia" w:ascii="仿宋_GB2312" w:hAnsi="仿宋_GB2312" w:eastAsia="仿宋_GB2312" w:cs="仿宋_GB2312"/>
          <w:kern w:val="0"/>
          <w:sz w:val="24"/>
          <w:szCs w:val="24"/>
          <w:lang w:bidi="ar"/>
        </w:rPr>
        <w:t>/技术协议</w:t>
      </w:r>
      <w:r>
        <w:rPr>
          <w:rFonts w:hint="eastAsia" w:ascii="仿宋_GB2312" w:hAnsi="仿宋_GB2312" w:eastAsia="仿宋_GB2312" w:cs="仿宋_GB2312"/>
          <w:sz w:val="24"/>
          <w:szCs w:val="24"/>
        </w:rPr>
        <w:t>约定的</w:t>
      </w:r>
      <w:r>
        <w:rPr>
          <w:rFonts w:hint="eastAsia" w:ascii="仿宋_GB2312" w:hAnsi="仿宋_GB2312" w:eastAsia="仿宋_GB2312" w:cs="仿宋_GB2312"/>
          <w:b/>
          <w:sz w:val="24"/>
          <w:szCs w:val="24"/>
        </w:rPr>
        <w:t>自动化率</w:t>
      </w:r>
      <w:r>
        <w:rPr>
          <w:rFonts w:hint="eastAsia" w:ascii="仿宋_GB2312" w:hAnsi="仿宋_GB2312" w:eastAsia="仿宋_GB2312" w:cs="仿宋_GB2312"/>
          <w:sz w:val="24"/>
          <w:szCs w:val="24"/>
        </w:rPr>
        <w:t>为准，按Q/ZZ 30096《产线自动化率核算规范》内规定的计算方法进行核算。</w:t>
      </w:r>
    </w:p>
    <w:p w14:paraId="0DAE9442">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2.2自动化率偏差核算公式</w:t>
      </w:r>
      <w:r>
        <w:rPr>
          <w:rFonts w:hint="eastAsia" w:ascii="仿宋_GB2312" w:hAnsi="仿宋_GB2312" w:eastAsia="仿宋_GB2312" w:cs="仿宋_GB2312"/>
          <w:sz w:val="24"/>
          <w:szCs w:val="24"/>
        </w:rPr>
        <w:t>：</w:t>
      </w:r>
    </w:p>
    <w:p w14:paraId="24415651">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自动化率偏差=约定自动化率-实际达成自动化率</w:t>
      </w:r>
    </w:p>
    <w:p w14:paraId="35C7ADA8">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2.3扣款规则</w:t>
      </w:r>
      <w:r>
        <w:rPr>
          <w:rFonts w:hint="eastAsia" w:ascii="仿宋_GB2312" w:hAnsi="仿宋_GB2312" w:eastAsia="仿宋_GB2312" w:cs="仿宋_GB2312"/>
          <w:sz w:val="24"/>
          <w:szCs w:val="24"/>
        </w:rPr>
        <w:t>：</w:t>
      </w:r>
    </w:p>
    <w:p w14:paraId="579C07A9">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自动化率偏差率＜【5】%：视为允许偏差，不扣款；</w:t>
      </w:r>
    </w:p>
    <w:p w14:paraId="05564886">
      <w:pPr>
        <w:widowControl/>
        <w:spacing w:line="300" w:lineRule="auto"/>
        <w:ind w:firstLine="480" w:firstLineChars="200"/>
        <w:jc w:val="left"/>
        <w:rPr>
          <w:rFonts w:ascii="仿宋_GB2312" w:hAnsi="仿宋_GB2312" w:eastAsia="仿宋_GB2312" w:cs="仿宋_GB2312"/>
          <w:kern w:val="0"/>
          <w:sz w:val="24"/>
          <w:szCs w:val="24"/>
          <w:lang w:bidi="ar"/>
        </w:rPr>
      </w:pPr>
      <w:r>
        <w:rPr>
          <w:rFonts w:hint="eastAsia" w:ascii="仿宋_GB2312" w:hAnsi="仿宋_GB2312" w:eastAsia="仿宋_GB2312" w:cs="仿宋_GB2312"/>
          <w:kern w:val="0"/>
          <w:sz w:val="24"/>
          <w:szCs w:val="24"/>
          <w:lang w:bidi="ar"/>
        </w:rPr>
        <w:t>【5】%≤自动化率偏差率＜【15】%：偏差每高1%，扣减对应合同价款的0.5%；</w:t>
      </w:r>
    </w:p>
    <w:p w14:paraId="3342A165">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kern w:val="0"/>
          <w:sz w:val="24"/>
          <w:szCs w:val="24"/>
          <w:lang w:bidi="ar"/>
        </w:rPr>
        <w:t>自动化率偏差率≥【15】%：视为重大偏差，买方有权选择以下任一种扣款方式：①按照额外增加的人工及设备使用年限核算扣款，人工成本按买方实际支出执行扣款，扣款不高于合同总价款的30%；②买方有权全部或部分不予验收付款，并单方解除合同。</w:t>
      </w:r>
    </w:p>
    <w:p w14:paraId="4E643063">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3、功能及性能偏差</w:t>
      </w:r>
    </w:p>
    <w:p w14:paraId="642D08A1">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3.1核心功能/主要参数不达标（根本违约）</w:t>
      </w:r>
    </w:p>
    <w:p w14:paraId="3628430E">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设备主要功能、核心性能指标、关键技术参数未达到合同及附件《技术协议》约定标准或国家、行业标准，导致项目无法实现核心产能、工艺要求不满足、整体验收不合格的，视为卖方根本违约。</w:t>
      </w:r>
    </w:p>
    <w:p w14:paraId="563A6B99">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27D980E8">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对于创新性强、技术难度大的挑战性项目，如存在部分关键指标不达标但经买方认定不影响产品、产线使用的，买方可选择让步接收，卖方提供不高于合同总金额的20%的折扣作为对买方让步接收的补偿。</w:t>
      </w:r>
    </w:p>
    <w:p w14:paraId="70DFF4FD">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3.2辅助指标/配置不符（非根本违约）</w:t>
      </w:r>
    </w:p>
    <w:p w14:paraId="36845D32">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25635077">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4、交付期偏差</w:t>
      </w:r>
    </w:p>
    <w:p w14:paraId="15342ABA">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4.1交付期偏差：</w:t>
      </w:r>
      <w:r>
        <w:rPr>
          <w:rFonts w:hint="eastAsia" w:ascii="仿宋_GB2312" w:hAnsi="仿宋_GB2312" w:eastAsia="仿宋_GB2312" w:cs="仿宋_GB2312"/>
          <w:sz w:val="24"/>
          <w:szCs w:val="24"/>
        </w:rPr>
        <w:t>指设备到货、安装调试等过程周期超出合同约定的时间。</w:t>
      </w:r>
    </w:p>
    <w:p w14:paraId="47F3BC5F">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4.2扣款规则：</w:t>
      </w:r>
      <w:r>
        <w:rPr>
          <w:rFonts w:hint="eastAsia" w:ascii="仿宋_GB2312" w:hAnsi="仿宋_GB2312" w:eastAsia="仿宋_GB2312" w:cs="仿宋_GB2312"/>
          <w:sz w:val="24"/>
          <w:szCs w:val="24"/>
        </w:rPr>
        <w:t>到货或安装调试每迟1个工作日，扣减设备合同价款的1%作为违约金，如违约金超过合同总价款的20%或因卖方原因设备未能通过最终验收，买方有权就卖方违约而解除合同，且卖方仍须支付上述违约金，返还买方已支付的设备款（如有），并赔偿由此给买方造成的一切损失。</w:t>
      </w:r>
    </w:p>
    <w:p w14:paraId="02252382">
      <w:pPr>
        <w:spacing w:line="300"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（二）研发、检测类固定资产投资项目</w:t>
      </w:r>
    </w:p>
    <w:p w14:paraId="617B7B2E">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1、功能及性能偏差</w:t>
      </w:r>
    </w:p>
    <w:p w14:paraId="2BDB7166">
      <w:pPr>
        <w:widowControl/>
        <w:spacing w:line="300" w:lineRule="auto"/>
        <w:ind w:firstLine="482" w:firstLineChars="2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1.1核心功能/主要参数不达标（根本违约）</w:t>
      </w:r>
    </w:p>
    <w:p w14:paraId="3814AA47">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设备主要功能、核心性能指标、关键技术参数未达到合同及附件《技术协议》约定标准或国家、行业标准，导致项目无法实现核心功能、工艺要求不满足、整体验收不合格的，视为卖方根本违约。</w:t>
      </w:r>
    </w:p>
    <w:p w14:paraId="04D82C32">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买方有权单方解除合同、无条件全额退货退款，卖方应在买方通知后7个工作日内全额退还买方已支付的全部款项，并承担设备往返运输、拆装、检测、仓储等全部相关费用；同时卖方应按合同总金额的20%向买方支付违约金，违约金不足以弥补买方工期延误、停产损失、第三方索赔等全部实际损失的，卖方应就差额部分另行足额赔偿。</w:t>
      </w:r>
    </w:p>
    <w:p w14:paraId="11D680C3">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对于创新性强、技术难度大的挑战性项目，如存在部分次要指标不达标但经买方认定不影响使用的，买方可选择让步接收，卖方提供不高于合同总金额的20%的折扣作为对买方让步接收的补偿。</w:t>
      </w:r>
    </w:p>
    <w:p w14:paraId="68DDD5B3">
      <w:pPr>
        <w:widowControl/>
        <w:spacing w:line="300" w:lineRule="auto"/>
        <w:ind w:left="-363" w:firstLine="723" w:firstLineChars="300"/>
        <w:jc w:val="left"/>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1.2辅助指标/配置不符（非根本违约）</w:t>
      </w:r>
    </w:p>
    <w:p w14:paraId="75BEDF34">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设备主要功能及核心参数均达标、可实现项目核心用途，但辅助性能指标、选配模块、附件配置、软件功能、外观尺寸等与合同约定不符，仅影响辅助性能或使用体验、不影响项目整体运行的，卖方应无偿补齐缺失配件、将不符项整改至约定标准，由此产生的全部费用由卖方自行承担；若卖方无法整改到位，双方应在30个工作日内按实际交付状态重新核定合同价款，签订书面补充协议并按调整后价格执行结算。买方有权全部或部分不予验收及付款。</w:t>
      </w:r>
    </w:p>
    <w:p w14:paraId="63CE274C">
      <w:pPr>
        <w:widowControl/>
        <w:spacing w:line="300" w:lineRule="auto"/>
        <w:ind w:left="-363" w:firstLine="843" w:firstLineChars="35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2、交付期偏差</w:t>
      </w:r>
    </w:p>
    <w:p w14:paraId="28C2B26A">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2.1交付期偏差：</w:t>
      </w:r>
      <w:r>
        <w:rPr>
          <w:rFonts w:hint="eastAsia" w:ascii="仿宋_GB2312" w:hAnsi="仿宋_GB2312" w:eastAsia="仿宋_GB2312" w:cs="仿宋_GB2312"/>
          <w:sz w:val="24"/>
          <w:szCs w:val="24"/>
        </w:rPr>
        <w:t>指设备到货、安装调试等过程，因卖方自身原因造成周期超出合同约定的时间。</w:t>
      </w:r>
    </w:p>
    <w:p w14:paraId="327990BF">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2.2扣款规则：</w:t>
      </w:r>
      <w:r>
        <w:rPr>
          <w:rFonts w:hint="eastAsia" w:ascii="仿宋_GB2312" w:hAnsi="仿宋_GB2312" w:eastAsia="仿宋_GB2312" w:cs="仿宋_GB2312"/>
          <w:sz w:val="24"/>
          <w:szCs w:val="24"/>
        </w:rPr>
        <w:t>交付期每迟1个工作日，扣减设备合同价款的0.5%，如扣款额超过合同总价款的20%，买方有权就卖方违约而解除合同，且卖方仍须支付上述违约金，并赔偿由此给买方造成的一切损失。</w:t>
      </w:r>
    </w:p>
    <w:p w14:paraId="634ADFD8">
      <w:pPr>
        <w:widowControl/>
        <w:spacing w:line="300" w:lineRule="auto"/>
        <w:ind w:firstLine="482" w:firstLineChars="200"/>
        <w:jc w:val="left"/>
        <w:rPr>
          <w:rFonts w:ascii="仿宋_GB2312" w:hAnsi="仿宋_GB2312" w:eastAsia="仿宋_GB2312" w:cs="仿宋_GB2312"/>
          <w:sz w:val="24"/>
          <w:szCs w:val="24"/>
        </w:rPr>
      </w:pPr>
      <w:r>
        <w:rPr>
          <w:rFonts w:hint="eastAsia" w:ascii="仿宋_GB2312" w:hAnsi="仿宋_GB2312" w:eastAsia="仿宋_GB2312" w:cs="仿宋_GB2312"/>
          <w:b/>
          <w:bCs/>
          <w:sz w:val="24"/>
          <w:szCs w:val="24"/>
        </w:rPr>
        <w:t>2.3</w:t>
      </w:r>
      <w:r>
        <w:rPr>
          <w:rFonts w:hint="eastAsia" w:ascii="仿宋_GB2312" w:hAnsi="仿宋_GB2312" w:eastAsia="仿宋_GB2312" w:cs="仿宋_GB2312"/>
          <w:sz w:val="24"/>
          <w:szCs w:val="24"/>
        </w:rPr>
        <w:t>针对研发、检测类试验设备特殊卖方（技术垄断、进口）的超期情况，第一次卖方需提前两个月提出书面延期申请并附最新交货期，经买方研判后出具考核结论；第二次超期时，买方按上述扣款规则进行考核。</w:t>
      </w:r>
    </w:p>
    <w:p w14:paraId="36DA3D05">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二、考核与执行流程</w:t>
      </w:r>
    </w:p>
    <w:p w14:paraId="0A7801BE">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1、卖方同意，在买方就索赔扣款及违约金通知卖方后，买方有权直接从</w:t>
      </w:r>
      <w:r>
        <w:rPr>
          <w:rFonts w:hint="eastAsia" w:ascii="仿宋_GB2312" w:hAnsi="仿宋_GB2312" w:eastAsia="仿宋_GB2312" w:cs="仿宋_GB2312"/>
          <w:b/>
          <w:sz w:val="24"/>
          <w:szCs w:val="24"/>
        </w:rPr>
        <w:t>项目尾款、履约保证金或质保金</w:t>
      </w:r>
      <w:r>
        <w:rPr>
          <w:rFonts w:hint="eastAsia" w:ascii="仿宋_GB2312" w:hAnsi="仿宋_GB2312" w:eastAsia="仿宋_GB2312" w:cs="仿宋_GB2312"/>
          <w:sz w:val="24"/>
          <w:szCs w:val="24"/>
        </w:rPr>
        <w:t>中优先抵扣相应款项。若抵扣后仍不足以覆盖索赔扣款及违约金金额，卖方应就剩余部分另行向买方支付。</w:t>
      </w:r>
    </w:p>
    <w:p w14:paraId="2F7024AF">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2、针对同一问题同时触发的多项索赔，不重复扣款，按照索赔金额较高的标准执行，但不同阶段重复发生的不在此限。所有索赔金额不超过合同总金额的30%。</w:t>
      </w:r>
    </w:p>
    <w:p w14:paraId="46F665B2">
      <w:pPr>
        <w:widowControl/>
        <w:spacing w:line="300" w:lineRule="auto"/>
        <w:ind w:firstLine="482" w:firstLineChars="200"/>
        <w:jc w:val="left"/>
        <w:outlineLvl w:val="1"/>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三、附则</w:t>
      </w:r>
    </w:p>
    <w:p w14:paraId="226B6359">
      <w:pPr>
        <w:widowControl/>
        <w:spacing w:line="30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z w:val="24"/>
          <w:szCs w:val="24"/>
        </w:rPr>
        <w:t>本细则作为主合同</w:t>
      </w:r>
      <w:r>
        <w:rPr>
          <w:rFonts w:hint="eastAsia" w:ascii="仿宋_GB2312" w:hAnsi="仿宋_GB2312" w:eastAsia="仿宋_GB2312" w:cs="仿宋_GB2312"/>
          <w:b/>
          <w:sz w:val="24"/>
          <w:szCs w:val="24"/>
        </w:rPr>
        <w:t>有效组成部分</w:t>
      </w:r>
      <w:r>
        <w:rPr>
          <w:rFonts w:hint="eastAsia" w:ascii="仿宋_GB2312" w:hAnsi="仿宋_GB2312" w:eastAsia="仿宋_GB2312" w:cs="仿宋_GB2312"/>
          <w:sz w:val="24"/>
          <w:szCs w:val="24"/>
        </w:rPr>
        <w:t>，与合同、技术协议具有同等法律效力；如本细则内容与合同、技术协议约定有冲突的，以本细则为准。</w:t>
      </w:r>
    </w:p>
    <w:p w14:paraId="04023613">
      <w:pPr>
        <w:rPr>
          <w:rFonts w:hint="eastAsia" w:ascii="宋体" w:hAnsi="宋体"/>
          <w:b/>
          <w:sz w:val="28"/>
          <w:szCs w:val="28"/>
        </w:rPr>
      </w:pPr>
    </w:p>
    <w:bookmarkEnd w:id="90"/>
    <w:p w14:paraId="7575AA97">
      <w:pPr>
        <w:outlineLvl w:val="9"/>
        <w:sectPr>
          <w:pgSz w:w="11906" w:h="16838"/>
          <w:pgMar w:top="1440" w:right="1800" w:bottom="1440" w:left="1800" w:header="851" w:footer="992" w:gutter="0"/>
          <w:pgNumType w:fmt="decimal"/>
          <w:cols w:space="720" w:num="1"/>
          <w:docGrid w:type="lines" w:linePitch="312" w:charSpace="0"/>
        </w:sectPr>
      </w:pPr>
    </w:p>
    <w:bookmarkEnd w:id="87"/>
    <w:bookmarkEnd w:id="88"/>
    <w:p w14:paraId="15B0AB2B">
      <w:pPr>
        <w:pStyle w:val="2"/>
        <w:keepNext w:val="0"/>
        <w:keepLines w:val="0"/>
        <w:pageBreakBefore w:val="0"/>
        <w:widowControl w:val="0"/>
        <w:kinsoku/>
        <w:wordWrap/>
        <w:overflowPunct/>
        <w:topLinePunct w:val="0"/>
        <w:autoSpaceDE/>
        <w:autoSpaceDN/>
        <w:bidi w:val="0"/>
        <w:ind w:firstLine="723" w:firstLineChars="200"/>
        <w:jc w:val="left"/>
        <w:textAlignment w:val="auto"/>
      </w:pPr>
      <w:bookmarkStart w:id="163" w:name="_Toc6299"/>
      <w:bookmarkStart w:id="164" w:name="_Toc17510"/>
      <w:r>
        <w:rPr>
          <w:rFonts w:hint="eastAsia"/>
        </w:rPr>
        <w:t>第七章 投标文件格式</w:t>
      </w:r>
      <w:bookmarkEnd w:id="163"/>
      <w:bookmarkEnd w:id="164"/>
    </w:p>
    <w:p w14:paraId="64BCE412">
      <w:pPr>
        <w:pStyle w:val="4"/>
        <w:spacing w:before="156"/>
      </w:pPr>
      <w:bookmarkStart w:id="165" w:name="_Toc146698136"/>
      <w:bookmarkStart w:id="166" w:name="_Toc9331"/>
      <w:bookmarkStart w:id="167" w:name="_Toc4150"/>
      <w:r>
        <w:rPr>
          <w:rFonts w:hint="eastAsia"/>
        </w:rPr>
        <w:t>一、投标函</w:t>
      </w:r>
      <w:bookmarkEnd w:id="165"/>
      <w:bookmarkEnd w:id="166"/>
      <w:bookmarkEnd w:id="167"/>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4"/>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4"/>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4"/>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4"/>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4"/>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4"/>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4"/>
        <w:spacing w:before="156"/>
      </w:pPr>
      <w:bookmarkStart w:id="168" w:name="_Toc29501"/>
      <w:bookmarkStart w:id="169" w:name="_Toc216"/>
      <w:bookmarkStart w:id="170" w:name="_Toc146698137"/>
      <w:r>
        <w:rPr>
          <w:rFonts w:hint="eastAsia"/>
        </w:rPr>
        <w:t>二、法定代表人授权书</w:t>
      </w:r>
      <w:bookmarkEnd w:id="168"/>
      <w:bookmarkEnd w:id="169"/>
      <w:bookmarkEnd w:id="170"/>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4"/>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71" w:name="_Toc301469812"/>
      <w:bookmarkStart w:id="172" w:name="_Toc119413768"/>
    </w:p>
    <w:bookmarkEnd w:id="171"/>
    <w:bookmarkEnd w:id="172"/>
    <w:p w14:paraId="33C77D45">
      <w:pPr>
        <w:pStyle w:val="4"/>
        <w:spacing w:before="156"/>
      </w:pPr>
      <w:bookmarkStart w:id="173" w:name="_Hlt119329906"/>
      <w:bookmarkEnd w:id="173"/>
      <w:bookmarkStart w:id="174" w:name="_Toc11854"/>
      <w:bookmarkStart w:id="175" w:name="_Toc146698138"/>
      <w:bookmarkStart w:id="176" w:name="_Toc11449"/>
      <w:r>
        <w:rPr>
          <w:rFonts w:hint="eastAsia"/>
          <w:sz w:val="24"/>
          <w:szCs w:val="24"/>
        </w:rPr>
        <w:t>三、</w:t>
      </w:r>
      <w:r>
        <w:rPr>
          <w:rFonts w:hint="eastAsia"/>
        </w:rPr>
        <w:t>唱标单</w:t>
      </w:r>
      <w:bookmarkEnd w:id="174"/>
      <w:bookmarkEnd w:id="175"/>
      <w:bookmarkEnd w:id="176"/>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2"/>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2"/>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2"/>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2"/>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3"/>
              <w:ind w:left="0" w:leftChars="0"/>
              <w:rPr>
                <w:rFonts w:asciiTheme="minorHAnsi" w:hAnsiTheme="minorHAnsi" w:eastAsiaTheme="minorEastAsia" w:cstheme="minorHAnsi"/>
                <w:bCs/>
                <w:sz w:val="24"/>
              </w:rPr>
            </w:pPr>
          </w:p>
          <w:p w14:paraId="7273C913">
            <w:pPr>
              <w:pStyle w:val="12"/>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77" w:name="_Toc301469814"/>
      <w:bookmarkStart w:id="178" w:name="_Toc119413770"/>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4"/>
        <w:spacing w:before="156"/>
      </w:pPr>
      <w:bookmarkStart w:id="179" w:name="_Toc146698139"/>
      <w:bookmarkStart w:id="180" w:name="_Toc30398"/>
      <w:bookmarkStart w:id="181" w:name="_Toc22187"/>
      <w:r>
        <w:rPr>
          <w:rFonts w:hint="eastAsia"/>
        </w:rPr>
        <w:t>四、企业基本情况</w:t>
      </w:r>
      <w:bookmarkEnd w:id="177"/>
      <w:bookmarkEnd w:id="178"/>
      <w:r>
        <w:rPr>
          <w:rFonts w:hint="eastAsia"/>
        </w:rPr>
        <w:t>介绍</w:t>
      </w:r>
      <w:bookmarkEnd w:id="179"/>
      <w:bookmarkEnd w:id="180"/>
      <w:bookmarkEnd w:id="181"/>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182" w:name="_Toc119413771"/>
            <w:bookmarkStart w:id="183" w:name="_Toc301469815"/>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4"/>
        <w:spacing w:before="156"/>
      </w:pPr>
      <w:bookmarkStart w:id="184" w:name="_Toc8525"/>
      <w:bookmarkStart w:id="185" w:name="_Toc16064006"/>
      <w:bookmarkStart w:id="186" w:name="_Toc146698140"/>
      <w:bookmarkStart w:id="187" w:name="_Toc6833"/>
      <w:r>
        <w:rPr>
          <w:rFonts w:hint="eastAsia"/>
        </w:rPr>
        <w:t>五、202</w:t>
      </w:r>
      <w:r>
        <w:rPr>
          <w:rFonts w:hint="eastAsia"/>
          <w:lang w:val="en-US" w:eastAsia="zh-CN"/>
        </w:rPr>
        <w:t>3</w:t>
      </w:r>
      <w:r>
        <w:rPr>
          <w:rFonts w:hint="eastAsia"/>
        </w:rPr>
        <w:t>、202</w:t>
      </w:r>
      <w:r>
        <w:rPr>
          <w:rFonts w:hint="eastAsia"/>
          <w:lang w:val="en-US" w:eastAsia="zh-CN"/>
        </w:rPr>
        <w:t>4</w:t>
      </w:r>
      <w:r>
        <w:rPr>
          <w:rFonts w:hint="eastAsia"/>
        </w:rPr>
        <w:t>、</w:t>
      </w:r>
      <w:r>
        <w:t>202</w:t>
      </w:r>
      <w:r>
        <w:rPr>
          <w:rFonts w:hint="eastAsia"/>
          <w:lang w:val="en-US" w:eastAsia="zh-CN"/>
        </w:rPr>
        <w:t>5</w:t>
      </w:r>
      <w:r>
        <w:rPr>
          <w:rFonts w:hint="eastAsia"/>
        </w:rPr>
        <w:t>年财务状况</w:t>
      </w:r>
      <w:bookmarkEnd w:id="184"/>
      <w:bookmarkEnd w:id="185"/>
      <w:bookmarkEnd w:id="186"/>
      <w:bookmarkEnd w:id="187"/>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3</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4"/>
        <w:spacing w:before="156"/>
        <w:rPr>
          <w:sz w:val="30"/>
          <w:szCs w:val="30"/>
        </w:rPr>
      </w:pPr>
      <w:r>
        <w:rPr>
          <w:rFonts w:hint="eastAsia" w:cs="宋体"/>
          <w:kern w:val="0"/>
        </w:rPr>
        <w:br w:type="page"/>
      </w:r>
      <w:bookmarkStart w:id="188" w:name="_Toc12385"/>
      <w:bookmarkStart w:id="189" w:name="_Toc20930"/>
      <w:bookmarkStart w:id="190" w:name="_Toc16064001"/>
      <w:bookmarkStart w:id="191" w:name="_Toc6247"/>
      <w:bookmarkStart w:id="192" w:name="_Toc14471"/>
      <w:bookmarkStart w:id="193" w:name="_Toc13417"/>
      <w:bookmarkStart w:id="194" w:name="_Toc17817351"/>
      <w:bookmarkStart w:id="195" w:name="_Toc17701"/>
      <w:bookmarkStart w:id="196" w:name="_Toc146698141"/>
      <w:r>
        <w:rPr>
          <w:rFonts w:hint="eastAsia"/>
        </w:rPr>
        <w:t>六、投标保证金</w:t>
      </w:r>
      <w:bookmarkEnd w:id="188"/>
      <w:bookmarkEnd w:id="189"/>
      <w:bookmarkEnd w:id="190"/>
      <w:bookmarkEnd w:id="191"/>
      <w:bookmarkEnd w:id="192"/>
      <w:bookmarkEnd w:id="193"/>
      <w:bookmarkEnd w:id="194"/>
      <w:bookmarkEnd w:id="195"/>
      <w:bookmarkEnd w:id="196"/>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4"/>
        <w:spacing w:before="156"/>
        <w:rPr>
          <w:rFonts w:cs="宋体"/>
          <w:kern w:val="0"/>
        </w:rPr>
      </w:pPr>
      <w:bookmarkStart w:id="197" w:name="_Toc21223"/>
      <w:bookmarkStart w:id="198" w:name="_Toc146698142"/>
      <w:bookmarkStart w:id="199" w:name="_Toc10110"/>
      <w:r>
        <w:rPr>
          <w:rFonts w:hint="eastAsia"/>
        </w:rPr>
        <w:t>七、项目负责人简历表</w:t>
      </w:r>
      <w:bookmarkEnd w:id="197"/>
      <w:bookmarkEnd w:id="198"/>
      <w:bookmarkEnd w:id="199"/>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00"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4"/>
        <w:spacing w:before="156"/>
        <w:rPr>
          <w:rFonts w:ascii="宋体"/>
          <w:b/>
          <w:bCs/>
          <w:sz w:val="28"/>
          <w:szCs w:val="28"/>
        </w:rPr>
      </w:pPr>
      <w:bookmarkStart w:id="201" w:name="_Toc447552577"/>
      <w:bookmarkStart w:id="202" w:name="_Toc30903"/>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00"/>
      <w:bookmarkEnd w:id="201"/>
      <w:bookmarkEnd w:id="202"/>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182"/>
    <w:bookmarkEnd w:id="183"/>
    <w:p w14:paraId="0F28EE13">
      <w:pPr>
        <w:pStyle w:val="4"/>
        <w:spacing w:before="156"/>
      </w:pPr>
      <w:bookmarkStart w:id="203" w:name="_Toc146698143"/>
      <w:bookmarkStart w:id="204" w:name="_Toc13973"/>
      <w:bookmarkStart w:id="205" w:name="_Toc13648"/>
      <w:r>
        <w:rPr>
          <w:rFonts w:hint="eastAsia"/>
        </w:rPr>
        <w:t>九、方案、承诺及其他</w:t>
      </w:r>
      <w:bookmarkEnd w:id="203"/>
      <w:bookmarkEnd w:id="204"/>
      <w:bookmarkEnd w:id="205"/>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5"/>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5"/>
        </w:numPr>
        <w:spacing w:line="360" w:lineRule="auto"/>
        <w:rPr>
          <w:rFonts w:ascii="宋体" w:cs="宋体"/>
          <w:sz w:val="24"/>
        </w:rPr>
      </w:pPr>
      <w:r>
        <w:rPr>
          <w:rFonts w:hint="eastAsia" w:ascii="宋体" w:cs="宋体"/>
          <w:sz w:val="24"/>
        </w:rPr>
        <w:t>对投标项目的合理化建议；</w:t>
      </w:r>
    </w:p>
    <w:p w14:paraId="4F2C864D">
      <w:pPr>
        <w:numPr>
          <w:ilvl w:val="0"/>
          <w:numId w:val="15"/>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5"/>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5"/>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4"/>
        <w:spacing w:before="156"/>
      </w:pPr>
      <w:bookmarkStart w:id="206" w:name="_Toc4580"/>
      <w:bookmarkStart w:id="207" w:name="_Toc5516"/>
      <w:bookmarkStart w:id="208" w:name="_Toc146698144"/>
      <w:r>
        <w:rPr>
          <w:rFonts w:hint="eastAsia"/>
        </w:rPr>
        <w:t>十、相关法律法规清单</w:t>
      </w:r>
      <w:bookmarkEnd w:id="206"/>
      <w:bookmarkEnd w:id="207"/>
      <w:bookmarkEnd w:id="208"/>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4"/>
        <w:spacing w:before="156"/>
      </w:pPr>
      <w:bookmarkStart w:id="209" w:name="_Toc38011323"/>
      <w:bookmarkStart w:id="210" w:name="_Toc26480"/>
      <w:bookmarkStart w:id="211" w:name="_Toc26462"/>
      <w:bookmarkStart w:id="212" w:name="_Toc146698145"/>
      <w:r>
        <w:rPr>
          <w:rFonts w:hint="eastAsia"/>
        </w:rPr>
        <w:t>十一、商务、技术偏离表</w:t>
      </w:r>
      <w:bookmarkEnd w:id="209"/>
      <w:bookmarkEnd w:id="210"/>
      <w:bookmarkEnd w:id="211"/>
      <w:bookmarkEnd w:id="212"/>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4"/>
        <w:spacing w:before="156"/>
        <w:rPr>
          <w:sz w:val="36"/>
          <w:szCs w:val="36"/>
        </w:rPr>
      </w:pPr>
      <w:bookmarkStart w:id="213" w:name="_Toc146698146"/>
      <w:bookmarkStart w:id="214" w:name="_Toc15477"/>
      <w:bookmarkStart w:id="215" w:name="_Toc232"/>
      <w:bookmarkStart w:id="216" w:name="_Toc16064009"/>
      <w:r>
        <w:rPr>
          <w:rFonts w:hint="eastAsia"/>
        </w:rPr>
        <w:t>十二、其它资信材料</w:t>
      </w:r>
      <w:bookmarkEnd w:id="213"/>
      <w:bookmarkEnd w:id="214"/>
      <w:bookmarkEnd w:id="215"/>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16"/>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4"/>
        <w:spacing w:before="156"/>
        <w:jc w:val="both"/>
        <w:rPr>
          <w:rStyle w:val="42"/>
          <w:rFonts w:hAnsi="宋体"/>
        </w:rPr>
        <w:sectPr>
          <w:footerReference r:id="rId9" w:type="first"/>
          <w:pgSz w:w="11906" w:h="16838"/>
          <w:pgMar w:top="1588" w:right="1418" w:bottom="1134" w:left="1418" w:header="851" w:footer="992" w:gutter="0"/>
          <w:pgNumType w:fmt="decimal"/>
          <w:cols w:space="720" w:num="1"/>
          <w:titlePg/>
          <w:docGrid w:type="lines" w:linePitch="312" w:charSpace="0"/>
        </w:sectPr>
      </w:pPr>
      <w:bookmarkStart w:id="217"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17"/>
    </w:p>
    <w:p w14:paraId="41A48591">
      <w:pPr>
        <w:pStyle w:val="5"/>
        <w:numPr>
          <w:ilvl w:val="0"/>
          <w:numId w:val="16"/>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6"/>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5"/>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10" w:type="default"/>
          <w:footerReference r:id="rId11"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2" w:type="default"/>
          <w:pgSz w:w="16841" w:h="11907"/>
          <w:pgMar w:top="400" w:right="1699" w:bottom="1184" w:left="1481" w:header="0" w:footer="1022" w:gutter="0"/>
          <w:pgNumType w:fmt="decimal"/>
          <w:cols w:space="720" w:num="1"/>
        </w:sectPr>
      </w:pPr>
    </w:p>
    <w:p w14:paraId="4471A904">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3" w:type="default"/>
          <w:pgSz w:w="16841" w:h="11907"/>
          <w:pgMar w:top="400" w:right="1699" w:bottom="1184" w:left="1481" w:header="0" w:footer="1022" w:gutter="0"/>
          <w:pgNumType w:fmt="decimal"/>
          <w:cols w:space="720" w:num="1"/>
        </w:sectPr>
      </w:pPr>
    </w:p>
    <w:p w14:paraId="7BB0AE9B">
      <w:pPr>
        <w:pStyle w:val="6"/>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4" w:type="default"/>
          <w:pgSz w:w="16841" w:h="11907"/>
          <w:pgMar w:top="400" w:right="1500" w:bottom="1184" w:left="1480" w:header="0" w:footer="1022" w:gutter="0"/>
          <w:pgNumType w:fmt="decimal"/>
          <w:cols w:space="720" w:num="1"/>
        </w:sectPr>
      </w:pPr>
    </w:p>
    <w:p w14:paraId="636C54F5">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5"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4"/>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20"/>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21"/>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22"/>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3"/>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32"/>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33"/>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6"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34"/>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6"/>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7"/>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8"/>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9"/>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0"/>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18"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18"/>
    </w:p>
    <w:p w14:paraId="58CB8766">
      <w:pPr>
        <w:spacing w:line="360" w:lineRule="auto"/>
        <w:outlineLvl w:val="9"/>
        <w:rPr>
          <w:rFonts w:hint="eastAsia" w:ascii="宋体" w:hAnsi="宋体" w:cs="宋体"/>
          <w:sz w:val="24"/>
        </w:rPr>
      </w:pPr>
      <w:bookmarkStart w:id="219" w:name="_Toc29877"/>
      <w:r>
        <w:rPr>
          <w:rFonts w:ascii="宋体" w:hAnsi="宋体" w:cs="宋体"/>
          <w:color w:val="000000"/>
          <w:sz w:val="24"/>
        </w:rPr>
        <w:t>点击查看进入查看中标项目详情</w:t>
      </w:r>
      <w:bookmarkEnd w:id="219"/>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1"/>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2"/>
      </w:pPr>
    </w:p>
    <w:p w14:paraId="773E5D50">
      <w:pPr>
        <w:pStyle w:val="12"/>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方正小标宋简体">
    <w:panose1 w:val="02000000000000000000"/>
    <w:charset w:val="86"/>
    <w:family w:val="script"/>
    <w:pitch w:val="default"/>
    <w:sig w:usb0="A00002BF" w:usb1="184F6CFA" w:usb2="00000012" w:usb3="00000000" w:csb0="00040001" w:csb1="00000000"/>
  </w:font>
  <w:font w:name="KSOF6B657194">
    <w:panose1 w:val="02020500000000000000"/>
    <w:charset w:val="88"/>
    <w:family w:val="auto"/>
    <w:pitch w:val="default"/>
    <w:sig w:usb0="00000001" w:usb1="00000000" w:usb2="00000000" w:usb3="00000000" w:csb0="00100001"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CEA42">
    <w:pPr>
      <w:pStyle w:val="19"/>
      <w:jc w:val="cente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4"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D1iVNOLgIAAFcEAAAOAAAAAAAAAAEAIAAAAB8BAABkcnMvZTJvRG9jLnhtbFBLBQYAAAAA&#10;BgAGAFkBAAC/BQAAAAA=&#10;">
              <v:fill on="f" focussize="0,0"/>
              <v:stroke on="f" weight="0.5pt"/>
              <v:imagedata o:title=""/>
              <o:lock v:ext="edit" aspectratio="f"/>
              <v:textbox inset="0mm,0mm,0mm,0mm" style="mso-fit-shape-to-text:t;">
                <w:txbxContent>
                  <w:p w14:paraId="1EA6A042">
                    <w:pPr>
                      <w:pStyle w:val="19"/>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809CD3">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wvwWYCwCAABWBAAADgAAAAAAAAABACAAAAAfAQAAZHJzL2Uyb0RvYy54bWxQSwUGAAAAAAYA&#10;BgBZAQAAvQUAAAAA&#10;">
              <v:fill on="f" focussize="0,0"/>
              <v:stroke on="f" weight="0.5pt"/>
              <v:imagedata o:title=""/>
              <o:lock v:ext="edit" aspectratio="f"/>
              <v:textbox inset="0mm,0mm,0mm,0mm" style="mso-fit-shape-to-text:t;">
                <w:txbxContent>
                  <w:p w14:paraId="6C809CD3">
                    <w:pPr>
                      <w:pStyle w:val="19"/>
                    </w:pP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6BD84D">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HqTR+gtAgAAVgQAAA4AAAAAAAAAAQAgAAAAHwEAAGRycy9lMm9Eb2MueG1sUEsFBgAAAAAG&#10;AAYAWQEAAL4FAAAAAA==&#10;">
              <v:fill on="f" focussize="0,0"/>
              <v:stroke on="f" weight="0.5pt"/>
              <v:imagedata o:title=""/>
              <o:lock v:ext="edit" aspectratio="f"/>
              <v:textbox inset="0mm,0mm,0mm,0mm" style="mso-fit-shape-to-text:t;">
                <w:txbxContent>
                  <w:p w14:paraId="096BD84D">
                    <w:pPr>
                      <w:pStyle w:val="19"/>
                    </w:pP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 name="文本框 6"/>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1AD6814">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6" o:spid="_x0000_s1026" o:spt="202" type="#_x0000_t202" style="position:absolute;left:0pt;margin-left:222.35pt;margin-top:0.25pt;height:18.75pt;width:59.25pt;mso-position-horizontal-relative:margin;z-index:251662336;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qX5bIzAgAAVQQAAA4AAAAAAAAAAQAgAAAAJQEAAGRycy9lMm9Eb2Mu&#10;eG1sUEsFBgAAAAAGAAYAWQEAAMoFAAAAAA==&#10;">
              <v:fill on="f" focussize="0,0"/>
              <v:stroke on="f" weight="0.5pt"/>
              <v:imagedata o:title=""/>
              <o:lock v:ext="edit" aspectratio="f"/>
              <v:textbox inset="0mm,0mm,0mm,0mm">
                <w:txbxContent>
                  <w:p w14:paraId="31AD6814">
                    <w:pPr>
                      <w:pStyle w:val="19"/>
                    </w:pPr>
                  </w:p>
                </w:txbxContent>
              </v:textbox>
            </v:shape>
          </w:pict>
        </mc:Fallback>
      </mc:AlternateContent>
    </w:r>
  </w:p>
  <w:p w14:paraId="6B74F7EB">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30E58D">
    <w:pPr>
      <w:pStyle w:val="19"/>
      <w:jc w:val="cente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3698ssAgAAVg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Tfr3yywCAABWBAAADgAAAAAAAAABACAAAAAfAQAAZHJzL2Uyb0RvYy54bWxQSwUGAAAAAAYA&#10;BgBZAQAAvQUAAAAA&#10;">
              <v:fill on="f" focussize="0,0"/>
              <v:stroke on="f" weight="0.5pt"/>
              <v:imagedata o:title=""/>
              <o:lock v:ext="edit" aspectratio="f"/>
              <v:textbox inset="0mm,0mm,0mm,0mm" style="mso-fit-shape-to-text:t;">
                <w:txbxContent>
                  <w:p w14:paraId="5A5200A3">
                    <w:pPr>
                      <w:pStyle w:val="19"/>
                    </w:pPr>
                    <w:r>
                      <w:t xml:space="preserve">第 </w:t>
                    </w:r>
                    <w:r>
                      <w:fldChar w:fldCharType="begin"/>
                    </w:r>
                    <w:r>
                      <w:instrText xml:space="preserve"> PAGE  \* MERGEFORMAT </w:instrText>
                    </w:r>
                    <w:r>
                      <w:fldChar w:fldCharType="separate"/>
                    </w:r>
                    <w:r>
                      <w:t>5</w:t>
                    </w:r>
                    <w:r>
                      <w:fldChar w:fldCharType="end"/>
                    </w:r>
                    <w:r>
                      <w:t xml:space="preserve"> 页 共 </w:t>
                    </w:r>
                    <w:r>
                      <w:fldChar w:fldCharType="begin"/>
                    </w:r>
                    <w:r>
                      <w:instrText xml:space="preserve"> NUMPAGES  \* MERGEFORMAT </w:instrText>
                    </w:r>
                    <w:r>
                      <w:fldChar w:fldCharType="separate"/>
                    </w:r>
                    <w:r>
                      <w:t>19</w:t>
                    </w:r>
                    <w:r>
                      <w:fldChar w:fldCharType="end"/>
                    </w:r>
                    <w:r>
                      <w:t xml:space="preserve"> 页</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00C1C5">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lxhAAtAgAAVgQAAA4AAABkcnMvZTJvRG9jLnhtbK1UzY7TMBC+I/EO&#10;lu80aVes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lxhAAtAgAAVgQAAA4AAAAAAAAAAQAgAAAAHwEAAGRycy9lMm9Eb2MueG1sUEsFBgAAAAAG&#10;AAYAWQEAAL4FAAAAAA==&#10;">
              <v:fill on="f" focussize="0,0"/>
              <v:stroke on="f" weight="0.5pt"/>
              <v:imagedata o:title=""/>
              <o:lock v:ext="edit" aspectratio="f"/>
              <v:textbox inset="0mm,0mm,0mm,0mm" style="mso-fit-shape-to-text:t;">
                <w:txbxContent>
                  <w:p w14:paraId="2F00C1C5">
                    <w:pPr>
                      <w:pStyle w:val="19"/>
                    </w:pPr>
                  </w:p>
                </w:txbxContent>
              </v:textbox>
            </v:shape>
          </w:pict>
        </mc:Fallback>
      </mc:AlternateContent>
    </w: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BD809B">
                          <w:pPr>
                            <w:pStyle w:val="1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1avTgsAgAAVg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Vq9OCwCAABWBAAADgAAAAAAAAABACAAAAAfAQAAZHJzL2Uyb0RvYy54bWxQSwUGAAAAAAYA&#10;BgBZAQAAvQUAAAAA&#10;">
              <v:fill on="f" focussize="0,0"/>
              <v:stroke on="f" weight="0.5pt"/>
              <v:imagedata o:title=""/>
              <o:lock v:ext="edit" aspectratio="f"/>
              <v:textbox inset="0mm,0mm,0mm,0mm" style="mso-fit-shape-to-text:t;">
                <w:txbxContent>
                  <w:p w14:paraId="3DBD809B">
                    <w:pPr>
                      <w:pStyle w:val="19"/>
                    </w:pPr>
                  </w:p>
                </w:txbxContent>
              </v:textbox>
            </v:shape>
          </w:pict>
        </mc:Fallback>
      </mc:AlternateContent>
    </w:r>
    <w:r>
      <mc:AlternateContent>
        <mc:Choice Requires="wps">
          <w:drawing>
            <wp:anchor distT="0" distB="0" distL="114300" distR="114300" simplePos="0" relativeHeight="251665408"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41" name="文本框 7"/>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909495">
                          <w:pPr>
                            <w:pStyle w:val="19"/>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7" o:spid="_x0000_s1026" o:spt="202" type="#_x0000_t202" style="position:absolute;left:0pt;margin-left:222.35pt;margin-top:0.25pt;height:18.75pt;width:59.25pt;mso-position-horizontal-relative:margin;z-index:251665408;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Grxdl4zAgAAVgQAAA4AAAAAAAAAAQAgAAAAJQEAAGRycy9lMm9Eb2Mu&#10;eG1sUEsFBgAAAAAGAAYAWQEAAMoFAAAAAA==&#10;">
              <v:fill on="f" focussize="0,0"/>
              <v:stroke on="f" weight="0.5pt"/>
              <v:imagedata o:title=""/>
              <o:lock v:ext="edit" aspectratio="f"/>
              <v:textbox inset="0mm,0mm,0mm,0mm">
                <w:txbxContent>
                  <w:p w14:paraId="4D909495">
                    <w:pPr>
                      <w:pStyle w:val="19"/>
                    </w:pPr>
                  </w:p>
                </w:txbxContent>
              </v:textbox>
            </v:shape>
          </w:pict>
        </mc:Fallback>
      </mc:AlternateContent>
    </w:r>
  </w:p>
  <w:p w14:paraId="6F74A442">
    <w:pPr>
      <w:pStyle w:val="19"/>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835C3F"/>
    <w:multiLevelType w:val="singleLevel"/>
    <w:tmpl w:val="C2835C3F"/>
    <w:lvl w:ilvl="0" w:tentative="0">
      <w:start w:val="13"/>
      <w:numFmt w:val="chineseCounting"/>
      <w:suff w:val="nothing"/>
      <w:lvlText w:val="%1、"/>
      <w:lvlJc w:val="left"/>
      <w:rPr>
        <w:rFonts w:hint="eastAsia"/>
      </w:rPr>
    </w:lvl>
  </w:abstractNum>
  <w:abstractNum w:abstractNumId="1">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2">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3">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25985AA"/>
    <w:multiLevelType w:val="singleLevel"/>
    <w:tmpl w:val="125985AA"/>
    <w:lvl w:ilvl="0" w:tentative="0">
      <w:start w:val="1"/>
      <w:numFmt w:val="decimal"/>
      <w:suff w:val="nothing"/>
      <w:lvlText w:val="%1、"/>
      <w:lvlJc w:val="left"/>
    </w:lvl>
  </w:abstractNum>
  <w:abstractNum w:abstractNumId="5">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6">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
    <w:nsid w:val="226A001F"/>
    <w:multiLevelType w:val="singleLevel"/>
    <w:tmpl w:val="226A001F"/>
    <w:lvl w:ilvl="0" w:tentative="0">
      <w:start w:val="5"/>
      <w:numFmt w:val="decimal"/>
      <w:lvlText w:val="%1."/>
      <w:lvlJc w:val="left"/>
      <w:pPr>
        <w:tabs>
          <w:tab w:val="left" w:pos="312"/>
        </w:tabs>
      </w:pPr>
    </w:lvl>
  </w:abstractNum>
  <w:abstractNum w:abstractNumId="9">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10">
    <w:nsid w:val="4AF0723E"/>
    <w:multiLevelType w:val="singleLevel"/>
    <w:tmpl w:val="4AF0723E"/>
    <w:lvl w:ilvl="0" w:tentative="0">
      <w:start w:val="2"/>
      <w:numFmt w:val="chineseCounting"/>
      <w:suff w:val="nothing"/>
      <w:lvlText w:val="%1、"/>
      <w:lvlJc w:val="left"/>
      <w:rPr>
        <w:rFonts w:hint="eastAsia"/>
      </w:rPr>
    </w:lvl>
  </w:abstractNum>
  <w:abstractNum w:abstractNumId="11">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2">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3">
    <w:nsid w:val="67CA585D"/>
    <w:multiLevelType w:val="singleLevel"/>
    <w:tmpl w:val="67CA585D"/>
    <w:lvl w:ilvl="0" w:tentative="0">
      <w:start w:val="1"/>
      <w:numFmt w:val="decimal"/>
      <w:suff w:val="nothing"/>
      <w:lvlText w:val="%1、"/>
      <w:lvlJc w:val="left"/>
    </w:lvl>
  </w:abstractNum>
  <w:abstractNum w:abstractNumId="14">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4"/>
  </w:num>
  <w:num w:numId="2">
    <w:abstractNumId w:val="6"/>
  </w:num>
  <w:num w:numId="3">
    <w:abstractNumId w:val="7"/>
  </w:num>
  <w:num w:numId="4">
    <w:abstractNumId w:val="8"/>
  </w:num>
  <w:num w:numId="5">
    <w:abstractNumId w:val="13"/>
  </w:num>
  <w:num w:numId="6">
    <w:abstractNumId w:val="10"/>
  </w:num>
  <w:num w:numId="7">
    <w:abstractNumId w:val="12"/>
  </w:num>
  <w:num w:numId="8">
    <w:abstractNumId w:val="2"/>
  </w:num>
  <w:num w:numId="9">
    <w:abstractNumId w:val="9"/>
  </w:num>
  <w:num w:numId="10">
    <w:abstractNumId w:val="3"/>
  </w:num>
  <w:num w:numId="11">
    <w:abstractNumId w:val="15"/>
  </w:num>
  <w:num w:numId="12">
    <w:abstractNumId w:val="1"/>
  </w:num>
  <w:num w:numId="13">
    <w:abstractNumId w:val="4"/>
  </w:num>
  <w:num w:numId="14">
    <w:abstractNumId w:val="11"/>
  </w:num>
  <w:num w:numId="15">
    <w:abstractNumId w:val="5"/>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846"/>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4B249B"/>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8912EE"/>
    <w:rsid w:val="049D07AF"/>
    <w:rsid w:val="04B213C1"/>
    <w:rsid w:val="05225EC8"/>
    <w:rsid w:val="054837EE"/>
    <w:rsid w:val="05663F59"/>
    <w:rsid w:val="05791EDF"/>
    <w:rsid w:val="059F7305"/>
    <w:rsid w:val="05CD25D7"/>
    <w:rsid w:val="05EA3EAD"/>
    <w:rsid w:val="06521C32"/>
    <w:rsid w:val="06741515"/>
    <w:rsid w:val="067803E8"/>
    <w:rsid w:val="06C97BAD"/>
    <w:rsid w:val="06E06011"/>
    <w:rsid w:val="07512980"/>
    <w:rsid w:val="07B7674A"/>
    <w:rsid w:val="07FF5CCC"/>
    <w:rsid w:val="0820745B"/>
    <w:rsid w:val="08615656"/>
    <w:rsid w:val="086E682C"/>
    <w:rsid w:val="087A7083"/>
    <w:rsid w:val="087E697D"/>
    <w:rsid w:val="08C2594B"/>
    <w:rsid w:val="08E71341"/>
    <w:rsid w:val="09261188"/>
    <w:rsid w:val="094F2FDA"/>
    <w:rsid w:val="0950109D"/>
    <w:rsid w:val="09831699"/>
    <w:rsid w:val="09A61816"/>
    <w:rsid w:val="0A020E0E"/>
    <w:rsid w:val="0A3718CA"/>
    <w:rsid w:val="0A4A6522"/>
    <w:rsid w:val="0A5440F3"/>
    <w:rsid w:val="0A613847"/>
    <w:rsid w:val="0AA45322"/>
    <w:rsid w:val="0AAB39D9"/>
    <w:rsid w:val="0ABD3CEF"/>
    <w:rsid w:val="0AC57BE3"/>
    <w:rsid w:val="0AEA0C42"/>
    <w:rsid w:val="0AEB3965"/>
    <w:rsid w:val="0B1A381C"/>
    <w:rsid w:val="0B6E61C8"/>
    <w:rsid w:val="0B795A6F"/>
    <w:rsid w:val="0BA87365"/>
    <w:rsid w:val="0C3C1C77"/>
    <w:rsid w:val="0C602D4B"/>
    <w:rsid w:val="0C7B59E7"/>
    <w:rsid w:val="0C8A331D"/>
    <w:rsid w:val="0CFD15DF"/>
    <w:rsid w:val="0D0535FB"/>
    <w:rsid w:val="0D1819FC"/>
    <w:rsid w:val="0D1B16BD"/>
    <w:rsid w:val="0D2210AE"/>
    <w:rsid w:val="0D2512B6"/>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8B7943"/>
    <w:rsid w:val="119A7465"/>
    <w:rsid w:val="119D37D8"/>
    <w:rsid w:val="120D4FB9"/>
    <w:rsid w:val="120D6537"/>
    <w:rsid w:val="12192A7F"/>
    <w:rsid w:val="123A77D4"/>
    <w:rsid w:val="12716E79"/>
    <w:rsid w:val="13567491"/>
    <w:rsid w:val="13766589"/>
    <w:rsid w:val="13A715D8"/>
    <w:rsid w:val="13A7357D"/>
    <w:rsid w:val="13F270A2"/>
    <w:rsid w:val="14E37DDB"/>
    <w:rsid w:val="1539280F"/>
    <w:rsid w:val="153E6F68"/>
    <w:rsid w:val="158E56BC"/>
    <w:rsid w:val="165266BB"/>
    <w:rsid w:val="169627DE"/>
    <w:rsid w:val="16E21F48"/>
    <w:rsid w:val="16E563F3"/>
    <w:rsid w:val="16F0324C"/>
    <w:rsid w:val="17173305"/>
    <w:rsid w:val="177056C4"/>
    <w:rsid w:val="17A70B2D"/>
    <w:rsid w:val="17D13AF8"/>
    <w:rsid w:val="17E256C1"/>
    <w:rsid w:val="17F71D22"/>
    <w:rsid w:val="18162E07"/>
    <w:rsid w:val="18297E3F"/>
    <w:rsid w:val="184B447B"/>
    <w:rsid w:val="187F767F"/>
    <w:rsid w:val="18F77513"/>
    <w:rsid w:val="192B3D79"/>
    <w:rsid w:val="1960209C"/>
    <w:rsid w:val="19830327"/>
    <w:rsid w:val="19E20B4E"/>
    <w:rsid w:val="19E94CA8"/>
    <w:rsid w:val="19F0751F"/>
    <w:rsid w:val="1A4E5290"/>
    <w:rsid w:val="1A943A2A"/>
    <w:rsid w:val="1AA2738A"/>
    <w:rsid w:val="1AAE5D2F"/>
    <w:rsid w:val="1ABF401D"/>
    <w:rsid w:val="1B1E1106"/>
    <w:rsid w:val="1B23671D"/>
    <w:rsid w:val="1B303273"/>
    <w:rsid w:val="1B3B6C75"/>
    <w:rsid w:val="1B5F5C88"/>
    <w:rsid w:val="1BB56FD7"/>
    <w:rsid w:val="1BC05D1A"/>
    <w:rsid w:val="1BD92F6B"/>
    <w:rsid w:val="1C2975EA"/>
    <w:rsid w:val="1C2A14F6"/>
    <w:rsid w:val="1C2C7853"/>
    <w:rsid w:val="1C6174EF"/>
    <w:rsid w:val="1CF0546A"/>
    <w:rsid w:val="1D52056E"/>
    <w:rsid w:val="1D6679DA"/>
    <w:rsid w:val="1DB20E32"/>
    <w:rsid w:val="1DF876AE"/>
    <w:rsid w:val="1E9163CE"/>
    <w:rsid w:val="1EA115F7"/>
    <w:rsid w:val="1ED74BBB"/>
    <w:rsid w:val="1F37640F"/>
    <w:rsid w:val="1F5E781E"/>
    <w:rsid w:val="1F805BDB"/>
    <w:rsid w:val="209C5373"/>
    <w:rsid w:val="20A36E98"/>
    <w:rsid w:val="20E9018A"/>
    <w:rsid w:val="211B5721"/>
    <w:rsid w:val="21401FB1"/>
    <w:rsid w:val="21634AA0"/>
    <w:rsid w:val="217F22BE"/>
    <w:rsid w:val="21BA2DEB"/>
    <w:rsid w:val="21DA0A2A"/>
    <w:rsid w:val="21E95497"/>
    <w:rsid w:val="225E003A"/>
    <w:rsid w:val="22B67E76"/>
    <w:rsid w:val="22F17E3D"/>
    <w:rsid w:val="22FF2CD1"/>
    <w:rsid w:val="22FF7345"/>
    <w:rsid w:val="23033334"/>
    <w:rsid w:val="23420CD4"/>
    <w:rsid w:val="23621DAC"/>
    <w:rsid w:val="23824610"/>
    <w:rsid w:val="23F05801"/>
    <w:rsid w:val="2427069B"/>
    <w:rsid w:val="24282BD7"/>
    <w:rsid w:val="24523BCF"/>
    <w:rsid w:val="2466188F"/>
    <w:rsid w:val="2473514F"/>
    <w:rsid w:val="24A01056"/>
    <w:rsid w:val="251057B2"/>
    <w:rsid w:val="25560E57"/>
    <w:rsid w:val="259F7BD4"/>
    <w:rsid w:val="26094AA1"/>
    <w:rsid w:val="26707106"/>
    <w:rsid w:val="26D149F5"/>
    <w:rsid w:val="26EC20B9"/>
    <w:rsid w:val="27DA63B5"/>
    <w:rsid w:val="27DD6708"/>
    <w:rsid w:val="27E4296B"/>
    <w:rsid w:val="27F044F5"/>
    <w:rsid w:val="281E04EF"/>
    <w:rsid w:val="287B3E0D"/>
    <w:rsid w:val="288B7556"/>
    <w:rsid w:val="28C64B8B"/>
    <w:rsid w:val="293E1C33"/>
    <w:rsid w:val="2995527A"/>
    <w:rsid w:val="2A1C0F07"/>
    <w:rsid w:val="2A9D329F"/>
    <w:rsid w:val="2B045B24"/>
    <w:rsid w:val="2B395AE8"/>
    <w:rsid w:val="2B5C6CCB"/>
    <w:rsid w:val="2B7E1F97"/>
    <w:rsid w:val="2BCE6231"/>
    <w:rsid w:val="2BDE39C1"/>
    <w:rsid w:val="2BF16674"/>
    <w:rsid w:val="2C254BFC"/>
    <w:rsid w:val="2C2A4EAB"/>
    <w:rsid w:val="2C8120E3"/>
    <w:rsid w:val="2C84151C"/>
    <w:rsid w:val="2CA40D8B"/>
    <w:rsid w:val="2CB4110C"/>
    <w:rsid w:val="2CD32336"/>
    <w:rsid w:val="2CD461FD"/>
    <w:rsid w:val="2D250928"/>
    <w:rsid w:val="2D3D23FF"/>
    <w:rsid w:val="2D5A6413"/>
    <w:rsid w:val="2D643AC8"/>
    <w:rsid w:val="2D711EA3"/>
    <w:rsid w:val="2DBA2F99"/>
    <w:rsid w:val="2DDE33CA"/>
    <w:rsid w:val="2DEB2456"/>
    <w:rsid w:val="2DEC0BF0"/>
    <w:rsid w:val="2E37532D"/>
    <w:rsid w:val="2ED646D8"/>
    <w:rsid w:val="2F5A662A"/>
    <w:rsid w:val="2F9F0337"/>
    <w:rsid w:val="2FA40D49"/>
    <w:rsid w:val="2FA5374C"/>
    <w:rsid w:val="300D35B1"/>
    <w:rsid w:val="30270E15"/>
    <w:rsid w:val="30B11567"/>
    <w:rsid w:val="310224D9"/>
    <w:rsid w:val="31124E12"/>
    <w:rsid w:val="3117429B"/>
    <w:rsid w:val="31451B20"/>
    <w:rsid w:val="31493966"/>
    <w:rsid w:val="31881CF6"/>
    <w:rsid w:val="31F406E5"/>
    <w:rsid w:val="32151B4F"/>
    <w:rsid w:val="3227669B"/>
    <w:rsid w:val="32662B2D"/>
    <w:rsid w:val="32676D99"/>
    <w:rsid w:val="32852B12"/>
    <w:rsid w:val="32B96FEA"/>
    <w:rsid w:val="331D68E6"/>
    <w:rsid w:val="3342126C"/>
    <w:rsid w:val="335313EB"/>
    <w:rsid w:val="341A770D"/>
    <w:rsid w:val="341C0956"/>
    <w:rsid w:val="347C1484"/>
    <w:rsid w:val="35951B6D"/>
    <w:rsid w:val="35B35A26"/>
    <w:rsid w:val="35C32D10"/>
    <w:rsid w:val="35D52583"/>
    <w:rsid w:val="35E5163A"/>
    <w:rsid w:val="36363080"/>
    <w:rsid w:val="36BA1B48"/>
    <w:rsid w:val="36E542BE"/>
    <w:rsid w:val="36E72620"/>
    <w:rsid w:val="371D2FC5"/>
    <w:rsid w:val="37323669"/>
    <w:rsid w:val="37EF0ACB"/>
    <w:rsid w:val="38001ED1"/>
    <w:rsid w:val="380C2659"/>
    <w:rsid w:val="380D1E8F"/>
    <w:rsid w:val="384F6AB9"/>
    <w:rsid w:val="38936A5B"/>
    <w:rsid w:val="38A72926"/>
    <w:rsid w:val="38C44CBF"/>
    <w:rsid w:val="38C5252E"/>
    <w:rsid w:val="38F44DFD"/>
    <w:rsid w:val="396653E1"/>
    <w:rsid w:val="39C26CA9"/>
    <w:rsid w:val="39EB2638"/>
    <w:rsid w:val="3A16005A"/>
    <w:rsid w:val="3A2B3AE8"/>
    <w:rsid w:val="3A63048C"/>
    <w:rsid w:val="3AB745F8"/>
    <w:rsid w:val="3AFD21CD"/>
    <w:rsid w:val="3B282E85"/>
    <w:rsid w:val="3B7C4566"/>
    <w:rsid w:val="3B8239A2"/>
    <w:rsid w:val="3B8254FA"/>
    <w:rsid w:val="3BA36271"/>
    <w:rsid w:val="3BA8156F"/>
    <w:rsid w:val="3BEB0FF0"/>
    <w:rsid w:val="3C2C2EA9"/>
    <w:rsid w:val="3C3920CA"/>
    <w:rsid w:val="3C3945D7"/>
    <w:rsid w:val="3C42023F"/>
    <w:rsid w:val="3C7975EF"/>
    <w:rsid w:val="3CB34BC3"/>
    <w:rsid w:val="3CBD1FF1"/>
    <w:rsid w:val="3CE533DA"/>
    <w:rsid w:val="3D2407E5"/>
    <w:rsid w:val="3D956BAE"/>
    <w:rsid w:val="3DAB0230"/>
    <w:rsid w:val="3DB06507"/>
    <w:rsid w:val="3DB64500"/>
    <w:rsid w:val="3DDC6B9F"/>
    <w:rsid w:val="3DEB3974"/>
    <w:rsid w:val="3E9E65D2"/>
    <w:rsid w:val="3EC84CDF"/>
    <w:rsid w:val="3F1649A1"/>
    <w:rsid w:val="3F192FC0"/>
    <w:rsid w:val="3F214472"/>
    <w:rsid w:val="3F595F38"/>
    <w:rsid w:val="3F620FE1"/>
    <w:rsid w:val="3F634A8A"/>
    <w:rsid w:val="3F6656BC"/>
    <w:rsid w:val="3F994A7F"/>
    <w:rsid w:val="3F997091"/>
    <w:rsid w:val="3FA441BB"/>
    <w:rsid w:val="403A7752"/>
    <w:rsid w:val="407841D0"/>
    <w:rsid w:val="4146510A"/>
    <w:rsid w:val="4162324B"/>
    <w:rsid w:val="41B10C5F"/>
    <w:rsid w:val="41F67E38"/>
    <w:rsid w:val="420D690D"/>
    <w:rsid w:val="42B966C3"/>
    <w:rsid w:val="43304A12"/>
    <w:rsid w:val="43566252"/>
    <w:rsid w:val="43823375"/>
    <w:rsid w:val="43827BD5"/>
    <w:rsid w:val="43B70399"/>
    <w:rsid w:val="43CF6B77"/>
    <w:rsid w:val="43E63B53"/>
    <w:rsid w:val="43EE298A"/>
    <w:rsid w:val="445D199D"/>
    <w:rsid w:val="44A55090"/>
    <w:rsid w:val="44C45512"/>
    <w:rsid w:val="44DB0BE7"/>
    <w:rsid w:val="456D0411"/>
    <w:rsid w:val="458105CE"/>
    <w:rsid w:val="45A24005"/>
    <w:rsid w:val="45C57342"/>
    <w:rsid w:val="45D95C77"/>
    <w:rsid w:val="45EB02B3"/>
    <w:rsid w:val="45ED50AE"/>
    <w:rsid w:val="45FD5429"/>
    <w:rsid w:val="46252D4D"/>
    <w:rsid w:val="46277B90"/>
    <w:rsid w:val="465B0258"/>
    <w:rsid w:val="468452BE"/>
    <w:rsid w:val="46896DEC"/>
    <w:rsid w:val="46AE0CE1"/>
    <w:rsid w:val="46D714B6"/>
    <w:rsid w:val="47117783"/>
    <w:rsid w:val="473236C0"/>
    <w:rsid w:val="474929D1"/>
    <w:rsid w:val="4771627F"/>
    <w:rsid w:val="47D34713"/>
    <w:rsid w:val="481C57BF"/>
    <w:rsid w:val="482C010F"/>
    <w:rsid w:val="483C3986"/>
    <w:rsid w:val="486C49B0"/>
    <w:rsid w:val="48C172C6"/>
    <w:rsid w:val="48F6016E"/>
    <w:rsid w:val="48F74BC1"/>
    <w:rsid w:val="49106FD2"/>
    <w:rsid w:val="49696DA5"/>
    <w:rsid w:val="497F0713"/>
    <w:rsid w:val="49A46255"/>
    <w:rsid w:val="49B36396"/>
    <w:rsid w:val="49BC3416"/>
    <w:rsid w:val="49DD2092"/>
    <w:rsid w:val="4A1A567E"/>
    <w:rsid w:val="4A48418E"/>
    <w:rsid w:val="4A6B2B90"/>
    <w:rsid w:val="4A6E2554"/>
    <w:rsid w:val="4AB21842"/>
    <w:rsid w:val="4AB43D9E"/>
    <w:rsid w:val="4AC06F5F"/>
    <w:rsid w:val="4AEC1DD8"/>
    <w:rsid w:val="4B4B73DD"/>
    <w:rsid w:val="4B8E3090"/>
    <w:rsid w:val="4BCC1F99"/>
    <w:rsid w:val="4C1471BE"/>
    <w:rsid w:val="4C8C73CE"/>
    <w:rsid w:val="4C9978DF"/>
    <w:rsid w:val="4CA7529C"/>
    <w:rsid w:val="4CDF363B"/>
    <w:rsid w:val="4CE22011"/>
    <w:rsid w:val="4D5F0E41"/>
    <w:rsid w:val="4D6C6A12"/>
    <w:rsid w:val="4D847A60"/>
    <w:rsid w:val="4D9272B1"/>
    <w:rsid w:val="4DB125E4"/>
    <w:rsid w:val="4E204085"/>
    <w:rsid w:val="4EE50033"/>
    <w:rsid w:val="4EFE1D6A"/>
    <w:rsid w:val="4F057880"/>
    <w:rsid w:val="4F366C62"/>
    <w:rsid w:val="4F4C51A7"/>
    <w:rsid w:val="4F6F0FB6"/>
    <w:rsid w:val="4F847B89"/>
    <w:rsid w:val="4F9662F5"/>
    <w:rsid w:val="4FA6442F"/>
    <w:rsid w:val="50384F67"/>
    <w:rsid w:val="50414462"/>
    <w:rsid w:val="505B2CB5"/>
    <w:rsid w:val="50751C6F"/>
    <w:rsid w:val="507F68C2"/>
    <w:rsid w:val="51473A96"/>
    <w:rsid w:val="515057DB"/>
    <w:rsid w:val="515C28DB"/>
    <w:rsid w:val="520C2431"/>
    <w:rsid w:val="52495D62"/>
    <w:rsid w:val="527C4008"/>
    <w:rsid w:val="527D2589"/>
    <w:rsid w:val="52F944DF"/>
    <w:rsid w:val="532134F5"/>
    <w:rsid w:val="53774E87"/>
    <w:rsid w:val="53B86E42"/>
    <w:rsid w:val="53BF62DB"/>
    <w:rsid w:val="53EE4E13"/>
    <w:rsid w:val="54020833"/>
    <w:rsid w:val="54CA318A"/>
    <w:rsid w:val="54F04B86"/>
    <w:rsid w:val="550D29FA"/>
    <w:rsid w:val="551207AA"/>
    <w:rsid w:val="55212BBF"/>
    <w:rsid w:val="5536081F"/>
    <w:rsid w:val="5563538C"/>
    <w:rsid w:val="55A1274B"/>
    <w:rsid w:val="55D76AFD"/>
    <w:rsid w:val="56116B96"/>
    <w:rsid w:val="56175974"/>
    <w:rsid w:val="56AC66F2"/>
    <w:rsid w:val="56CB2446"/>
    <w:rsid w:val="56E71615"/>
    <w:rsid w:val="56EA45CC"/>
    <w:rsid w:val="570E1939"/>
    <w:rsid w:val="57923F19"/>
    <w:rsid w:val="57A44166"/>
    <w:rsid w:val="57D74425"/>
    <w:rsid w:val="581B443E"/>
    <w:rsid w:val="58762279"/>
    <w:rsid w:val="589A2E73"/>
    <w:rsid w:val="58EC0AEC"/>
    <w:rsid w:val="58F35BBD"/>
    <w:rsid w:val="59914276"/>
    <w:rsid w:val="59930314"/>
    <w:rsid w:val="59E6011F"/>
    <w:rsid w:val="59EB0841"/>
    <w:rsid w:val="5A1B7FE4"/>
    <w:rsid w:val="5A2632E9"/>
    <w:rsid w:val="5A351563"/>
    <w:rsid w:val="5A4C03FF"/>
    <w:rsid w:val="5A4F04ED"/>
    <w:rsid w:val="5A4F4DEE"/>
    <w:rsid w:val="5A764561"/>
    <w:rsid w:val="5AB111D9"/>
    <w:rsid w:val="5AC650B1"/>
    <w:rsid w:val="5AC728CE"/>
    <w:rsid w:val="5AEE6697"/>
    <w:rsid w:val="5B031477"/>
    <w:rsid w:val="5B0A30BD"/>
    <w:rsid w:val="5B8B3C95"/>
    <w:rsid w:val="5B9708A5"/>
    <w:rsid w:val="5BA9321C"/>
    <w:rsid w:val="5BE10EF6"/>
    <w:rsid w:val="5C7C175E"/>
    <w:rsid w:val="5C892D32"/>
    <w:rsid w:val="5CBE6754"/>
    <w:rsid w:val="5CE24905"/>
    <w:rsid w:val="5CE24DE9"/>
    <w:rsid w:val="5CEA7A12"/>
    <w:rsid w:val="5D101FB3"/>
    <w:rsid w:val="5D2E41D4"/>
    <w:rsid w:val="5D3953A1"/>
    <w:rsid w:val="5E3E3A04"/>
    <w:rsid w:val="5E5203C1"/>
    <w:rsid w:val="5EE06817"/>
    <w:rsid w:val="5F1100B7"/>
    <w:rsid w:val="5F284DA7"/>
    <w:rsid w:val="5F2D5D16"/>
    <w:rsid w:val="5F3C0E6C"/>
    <w:rsid w:val="5F677827"/>
    <w:rsid w:val="5FBB029F"/>
    <w:rsid w:val="5FD71F38"/>
    <w:rsid w:val="5FDD5159"/>
    <w:rsid w:val="5FED7EEF"/>
    <w:rsid w:val="600951E3"/>
    <w:rsid w:val="6084664B"/>
    <w:rsid w:val="608E5F22"/>
    <w:rsid w:val="609847B1"/>
    <w:rsid w:val="60C72E91"/>
    <w:rsid w:val="60F15E8A"/>
    <w:rsid w:val="61E21473"/>
    <w:rsid w:val="62370D91"/>
    <w:rsid w:val="625050D5"/>
    <w:rsid w:val="62581669"/>
    <w:rsid w:val="62972BA4"/>
    <w:rsid w:val="62AA3D56"/>
    <w:rsid w:val="62BD2F9C"/>
    <w:rsid w:val="62E033D6"/>
    <w:rsid w:val="62EA49F7"/>
    <w:rsid w:val="635640D3"/>
    <w:rsid w:val="63FC70D8"/>
    <w:rsid w:val="64D52E93"/>
    <w:rsid w:val="64F777C3"/>
    <w:rsid w:val="658A426F"/>
    <w:rsid w:val="65941228"/>
    <w:rsid w:val="659C46CE"/>
    <w:rsid w:val="65F0429F"/>
    <w:rsid w:val="6609788A"/>
    <w:rsid w:val="66121CD3"/>
    <w:rsid w:val="663E4272"/>
    <w:rsid w:val="66584300"/>
    <w:rsid w:val="665B5EF5"/>
    <w:rsid w:val="665E28AE"/>
    <w:rsid w:val="6665218B"/>
    <w:rsid w:val="666A5731"/>
    <w:rsid w:val="66A87E90"/>
    <w:rsid w:val="66BE0ECB"/>
    <w:rsid w:val="67582877"/>
    <w:rsid w:val="679338AF"/>
    <w:rsid w:val="67F636E3"/>
    <w:rsid w:val="67F9196E"/>
    <w:rsid w:val="68352E87"/>
    <w:rsid w:val="68E568A5"/>
    <w:rsid w:val="68EF720B"/>
    <w:rsid w:val="68FC5A86"/>
    <w:rsid w:val="696003C2"/>
    <w:rsid w:val="69766E90"/>
    <w:rsid w:val="69A3580E"/>
    <w:rsid w:val="6A263BDB"/>
    <w:rsid w:val="6A622576"/>
    <w:rsid w:val="6A6B466F"/>
    <w:rsid w:val="6AE37815"/>
    <w:rsid w:val="6AEA48B3"/>
    <w:rsid w:val="6AF724BA"/>
    <w:rsid w:val="6B0E2F02"/>
    <w:rsid w:val="6BD91AAD"/>
    <w:rsid w:val="6BDB366C"/>
    <w:rsid w:val="6C215F10"/>
    <w:rsid w:val="6C564F9A"/>
    <w:rsid w:val="6C5717E0"/>
    <w:rsid w:val="6C7D5C01"/>
    <w:rsid w:val="6C961BE6"/>
    <w:rsid w:val="6CA504C8"/>
    <w:rsid w:val="6CA519DB"/>
    <w:rsid w:val="6CA727BF"/>
    <w:rsid w:val="6CB849A7"/>
    <w:rsid w:val="6CC462B9"/>
    <w:rsid w:val="6D9C5573"/>
    <w:rsid w:val="6DEC122C"/>
    <w:rsid w:val="6EAF2DD8"/>
    <w:rsid w:val="6F294145"/>
    <w:rsid w:val="6F50310A"/>
    <w:rsid w:val="6FBF7BB3"/>
    <w:rsid w:val="6FEE2012"/>
    <w:rsid w:val="70074E3A"/>
    <w:rsid w:val="70622350"/>
    <w:rsid w:val="70D74D9E"/>
    <w:rsid w:val="71126EC3"/>
    <w:rsid w:val="714D0321"/>
    <w:rsid w:val="72012769"/>
    <w:rsid w:val="72153BAA"/>
    <w:rsid w:val="72302549"/>
    <w:rsid w:val="72374822"/>
    <w:rsid w:val="72575846"/>
    <w:rsid w:val="72691DDC"/>
    <w:rsid w:val="72772B96"/>
    <w:rsid w:val="72BB4362"/>
    <w:rsid w:val="72C038D5"/>
    <w:rsid w:val="72FE1DE6"/>
    <w:rsid w:val="730135C5"/>
    <w:rsid w:val="73307239"/>
    <w:rsid w:val="73404866"/>
    <w:rsid w:val="734B0D50"/>
    <w:rsid w:val="735E1767"/>
    <w:rsid w:val="737E5EEA"/>
    <w:rsid w:val="7395275D"/>
    <w:rsid w:val="73970283"/>
    <w:rsid w:val="73AB61EB"/>
    <w:rsid w:val="73B06FFE"/>
    <w:rsid w:val="741F797E"/>
    <w:rsid w:val="74D31C0E"/>
    <w:rsid w:val="74EE7C94"/>
    <w:rsid w:val="74F96E64"/>
    <w:rsid w:val="75107AB0"/>
    <w:rsid w:val="7537114E"/>
    <w:rsid w:val="753E66A3"/>
    <w:rsid w:val="75580E94"/>
    <w:rsid w:val="758406F8"/>
    <w:rsid w:val="759B3DBA"/>
    <w:rsid w:val="75AA26A3"/>
    <w:rsid w:val="76007B26"/>
    <w:rsid w:val="767055A8"/>
    <w:rsid w:val="767A2659"/>
    <w:rsid w:val="76D85C39"/>
    <w:rsid w:val="76E11F70"/>
    <w:rsid w:val="77184757"/>
    <w:rsid w:val="7737007E"/>
    <w:rsid w:val="77BC614F"/>
    <w:rsid w:val="781053F7"/>
    <w:rsid w:val="782E3C66"/>
    <w:rsid w:val="783B2B41"/>
    <w:rsid w:val="78646D0D"/>
    <w:rsid w:val="78E24696"/>
    <w:rsid w:val="790A0589"/>
    <w:rsid w:val="795804B5"/>
    <w:rsid w:val="79B60841"/>
    <w:rsid w:val="79DB0B00"/>
    <w:rsid w:val="7A2860D9"/>
    <w:rsid w:val="7A3C3968"/>
    <w:rsid w:val="7AB66A3C"/>
    <w:rsid w:val="7B036FEB"/>
    <w:rsid w:val="7B486307"/>
    <w:rsid w:val="7BA515C3"/>
    <w:rsid w:val="7BC335A0"/>
    <w:rsid w:val="7C1032C9"/>
    <w:rsid w:val="7C321AFF"/>
    <w:rsid w:val="7C49574E"/>
    <w:rsid w:val="7C784B07"/>
    <w:rsid w:val="7CD9190C"/>
    <w:rsid w:val="7CEF56C5"/>
    <w:rsid w:val="7CF630ED"/>
    <w:rsid w:val="7CF70D50"/>
    <w:rsid w:val="7D3354C1"/>
    <w:rsid w:val="7D3A1A54"/>
    <w:rsid w:val="7D773F1E"/>
    <w:rsid w:val="7DBB54B6"/>
    <w:rsid w:val="7DDB1EBD"/>
    <w:rsid w:val="7DEA36AC"/>
    <w:rsid w:val="7E514691"/>
    <w:rsid w:val="7E5F26BC"/>
    <w:rsid w:val="7F1715F4"/>
    <w:rsid w:val="7F8C710A"/>
    <w:rsid w:val="7FBA7941"/>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46"/>
    <w:qFormat/>
    <w:uiPriority w:val="0"/>
    <w:pPr>
      <w:adjustRightInd w:val="0"/>
      <w:snapToGrid w:val="0"/>
      <w:spacing w:line="360" w:lineRule="auto"/>
      <w:jc w:val="left"/>
      <w:outlineLvl w:val="0"/>
    </w:pPr>
    <w:rPr>
      <w:rFonts w:ascii="Times New Roman" w:hAnsi="Times New Roman" w:eastAsia="宋体"/>
      <w:b/>
      <w:bCs/>
      <w:kern w:val="44"/>
      <w:sz w:val="36"/>
      <w:szCs w:val="36"/>
    </w:rPr>
  </w:style>
  <w:style w:type="paragraph" w:styleId="4">
    <w:name w:val="heading 2"/>
    <w:basedOn w:val="5"/>
    <w:next w:val="1"/>
    <w:link w:val="40"/>
    <w:qFormat/>
    <w:uiPriority w:val="0"/>
    <w:pPr>
      <w:adjustRightInd w:val="0"/>
      <w:snapToGrid w:val="0"/>
      <w:spacing w:after="0" w:line="360" w:lineRule="auto"/>
      <w:jc w:val="center"/>
      <w:outlineLvl w:val="1"/>
    </w:pPr>
    <w:rPr>
      <w:rFonts w:ascii="宋体"/>
      <w:sz w:val="28"/>
      <w:szCs w:val="28"/>
    </w:rPr>
  </w:style>
  <w:style w:type="paragraph" w:styleId="5">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6">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7">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3">
    <w:name w:val="toc 3"/>
    <w:basedOn w:val="1"/>
    <w:next w:val="1"/>
    <w:qFormat/>
    <w:uiPriority w:val="39"/>
    <w:pPr>
      <w:ind w:left="400" w:leftChars="400"/>
    </w:pPr>
  </w:style>
  <w:style w:type="paragraph" w:styleId="8">
    <w:name w:val="Normal Indent"/>
    <w:basedOn w:val="1"/>
    <w:qFormat/>
    <w:uiPriority w:val="0"/>
    <w:pPr>
      <w:ind w:firstLine="420"/>
    </w:pPr>
    <w:rPr>
      <w:sz w:val="14"/>
    </w:rPr>
  </w:style>
  <w:style w:type="paragraph" w:styleId="9">
    <w:name w:val="caption"/>
    <w:basedOn w:val="1"/>
    <w:next w:val="1"/>
    <w:qFormat/>
    <w:uiPriority w:val="0"/>
    <w:pPr>
      <w:spacing w:before="152" w:after="160"/>
    </w:pPr>
    <w:rPr>
      <w:rFonts w:ascii="Arial" w:hAnsi="Arial" w:eastAsia="黑体" w:cs="Arial"/>
      <w:sz w:val="20"/>
      <w:szCs w:val="20"/>
    </w:rPr>
  </w:style>
  <w:style w:type="paragraph" w:styleId="10">
    <w:name w:val="Document Map"/>
    <w:basedOn w:val="1"/>
    <w:link w:val="52"/>
    <w:qFormat/>
    <w:uiPriority w:val="0"/>
    <w:rPr>
      <w:rFonts w:ascii="微软雅黑" w:hAnsi="微软雅黑"/>
      <w:sz w:val="18"/>
      <w:szCs w:val="18"/>
    </w:rPr>
  </w:style>
  <w:style w:type="paragraph" w:styleId="11">
    <w:name w:val="annotation text"/>
    <w:basedOn w:val="1"/>
    <w:link w:val="48"/>
    <w:qFormat/>
    <w:uiPriority w:val="0"/>
    <w:pPr>
      <w:spacing w:after="200" w:line="276" w:lineRule="auto"/>
      <w:jc w:val="left"/>
    </w:pPr>
    <w:rPr>
      <w:kern w:val="0"/>
      <w:szCs w:val="21"/>
    </w:rPr>
  </w:style>
  <w:style w:type="paragraph" w:styleId="12">
    <w:name w:val="Body Text"/>
    <w:basedOn w:val="1"/>
    <w:next w:val="13"/>
    <w:link w:val="47"/>
    <w:qFormat/>
    <w:uiPriority w:val="99"/>
    <w:pPr>
      <w:spacing w:after="120"/>
    </w:pPr>
    <w:rPr>
      <w:kern w:val="0"/>
      <w:szCs w:val="21"/>
    </w:rPr>
  </w:style>
  <w:style w:type="paragraph" w:styleId="13">
    <w:name w:val="Body Text Indent"/>
    <w:basedOn w:val="1"/>
    <w:link w:val="50"/>
    <w:unhideWhenUsed/>
    <w:qFormat/>
    <w:uiPriority w:val="0"/>
    <w:pPr>
      <w:spacing w:after="120"/>
      <w:ind w:left="420" w:leftChars="200"/>
    </w:pPr>
  </w:style>
  <w:style w:type="paragraph" w:styleId="14">
    <w:name w:val="index 4"/>
    <w:basedOn w:val="1"/>
    <w:next w:val="1"/>
    <w:unhideWhenUsed/>
    <w:qFormat/>
    <w:uiPriority w:val="0"/>
    <w:pPr>
      <w:ind w:left="600" w:leftChars="6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2"/>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1"/>
    <w:next w:val="11"/>
    <w:link w:val="59"/>
    <w:qFormat/>
    <w:uiPriority w:val="0"/>
    <w:pPr>
      <w:spacing w:after="0" w:line="240" w:lineRule="auto"/>
    </w:pPr>
    <w:rPr>
      <w:b/>
      <w:bCs/>
      <w:kern w:val="2"/>
      <w:szCs w:val="24"/>
    </w:rPr>
  </w:style>
  <w:style w:type="paragraph" w:styleId="30">
    <w:name w:val="Body Text First Indent 2"/>
    <w:basedOn w:val="13"/>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4"/>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2"/>
    <w:qFormat/>
    <w:uiPriority w:val="99"/>
    <w:rPr>
      <w:rFonts w:ascii="Times New Roman" w:hAnsi="Times New Roman" w:eastAsia="宋体" w:cs="Times New Roman"/>
      <w:kern w:val="0"/>
      <w:szCs w:val="21"/>
    </w:rPr>
  </w:style>
  <w:style w:type="character" w:customStyle="1" w:styleId="48">
    <w:name w:val="批注文字 字符"/>
    <w:basedOn w:val="33"/>
    <w:link w:val="11"/>
    <w:qFormat/>
    <w:uiPriority w:val="99"/>
    <w:rPr>
      <w:rFonts w:ascii="Times New Roman" w:hAnsi="Times New Roman" w:eastAsia="宋体" w:cs="Times New Roman"/>
      <w:kern w:val="0"/>
      <w:szCs w:val="21"/>
    </w:rPr>
  </w:style>
  <w:style w:type="character" w:customStyle="1" w:styleId="49">
    <w:name w:val="标题 3 字符"/>
    <w:basedOn w:val="33"/>
    <w:link w:val="5"/>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3"/>
    <w:semiHidden/>
    <w:qFormat/>
    <w:uiPriority w:val="99"/>
    <w:rPr>
      <w:rFonts w:ascii="Times New Roman" w:hAnsi="Times New Roman" w:eastAsia="宋体" w:cs="Times New Roman"/>
      <w:szCs w:val="24"/>
    </w:rPr>
  </w:style>
  <w:style w:type="character" w:customStyle="1" w:styleId="51">
    <w:name w:val="标题 4 字符"/>
    <w:basedOn w:val="33"/>
    <w:link w:val="6"/>
    <w:qFormat/>
    <w:uiPriority w:val="0"/>
    <w:rPr>
      <w:rFonts w:ascii="Arial" w:hAnsi="Arial" w:eastAsia="黑体" w:cs="Times New Roman"/>
      <w:b/>
      <w:bCs/>
      <w:sz w:val="28"/>
      <w:szCs w:val="28"/>
    </w:rPr>
  </w:style>
  <w:style w:type="character" w:customStyle="1" w:styleId="52">
    <w:name w:val="文档结构图 字符"/>
    <w:basedOn w:val="33"/>
    <w:link w:val="10"/>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3"/>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10"/>
    <w:qFormat/>
    <w:uiPriority w:val="0"/>
    <w:pPr>
      <w:shd w:val="clear" w:color="auto" w:fill="000080"/>
    </w:pPr>
    <w:rPr>
      <w:rFonts w:ascii="Tahoma" w:hAnsi="Tahoma" w:cs="Tahoma"/>
      <w:kern w:val="0"/>
    </w:rPr>
  </w:style>
  <w:style w:type="paragraph" w:customStyle="1" w:styleId="77">
    <w:name w:val="+标题2"/>
    <w:basedOn w:val="4"/>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4"/>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7"/>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5"/>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er" Target="footer1.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jpeg"/><Relationship Id="rId17" Type="http://schemas.openxmlformats.org/officeDocument/2006/relationships/theme" Target="theme/theme1.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header" Target="head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92</Pages>
  <Words>4784</Words>
  <Characters>5161</Characters>
  <Lines>244</Lines>
  <Paragraphs>68</Paragraphs>
  <TotalTime>1</TotalTime>
  <ScaleCrop>false</ScaleCrop>
  <LinksUpToDate>false</LinksUpToDate>
  <CharactersWithSpaces>5369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2026-07-17T01:02:34Z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