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pPr>
        <w:autoSpaceDE w:val="0"/>
        <w:autoSpaceDN w:val="0"/>
        <w:adjustRightInd w:val="0"/>
        <w:snapToGrid w:val="0"/>
        <w:spacing w:line="360" w:lineRule="auto"/>
        <w:ind w:firstLine="255" w:firstLineChars="49"/>
        <w:jc w:val="center"/>
        <w:rPr>
          <w:rFonts w:hint="default" w:asciiTheme="minorEastAsia" w:hAnsiTheme="minorEastAsia" w:eastAsiaTheme="minorEastAsia" w:cstheme="minorEastAsia"/>
          <w:b/>
          <w:sz w:val="52"/>
          <w:szCs w:val="52"/>
          <w:highlight w:val="yellow"/>
          <w:lang w:val="en-US"/>
        </w:rPr>
      </w:pPr>
      <w:r>
        <w:rPr>
          <w:rFonts w:hint="eastAsia" w:ascii="宋体" w:hAnsi="宋体" w:eastAsia="宋体"/>
          <w:b/>
          <w:sz w:val="52"/>
          <w:szCs w:val="52"/>
        </w:rPr>
        <w:t>济南制造单位（半）自动体外除颤仪（AED）统一采购及服务项目</w:t>
      </w:r>
    </w:p>
    <w:p>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pPr>
        <w:autoSpaceDE w:val="0"/>
        <w:autoSpaceDN w:val="0"/>
        <w:adjustRightInd w:val="0"/>
        <w:snapToGrid w:val="0"/>
        <w:spacing w:line="360" w:lineRule="auto"/>
        <w:ind w:firstLine="353"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pPr>
        <w:tabs>
          <w:tab w:val="left" w:pos="3885"/>
          <w:tab w:val="left" w:pos="6219"/>
        </w:tabs>
        <w:autoSpaceDE w:val="0"/>
        <w:autoSpaceDN w:val="0"/>
        <w:adjustRightInd w:val="0"/>
        <w:snapToGrid w:val="0"/>
        <w:spacing w:line="360" w:lineRule="auto"/>
        <w:ind w:firstLine="291"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1"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1"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1"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1"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1"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1"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1"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3</w:t>
      </w:r>
      <w:r>
        <w:rPr>
          <w:rFonts w:hint="eastAsia" w:asciiTheme="minorEastAsia" w:hAnsiTheme="minorEastAsia" w:eastAsiaTheme="minorEastAsia" w:cstheme="minorEastAsia"/>
          <w:sz w:val="30"/>
          <w:szCs w:val="30"/>
        </w:rPr>
        <w:t>月</w:t>
      </w: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bookmarkEnd w:id="0"/>
    <w:bookmarkEnd w:id="1"/>
    <w:p>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131406235"/>
      <w:bookmarkStart w:id="4" w:name="_Toc23462"/>
      <w:r>
        <w:rPr>
          <w:rFonts w:hint="eastAsia" w:asciiTheme="minorEastAsia" w:hAnsiTheme="minorEastAsia" w:eastAsiaTheme="minorEastAsia" w:cstheme="minorEastAsia"/>
          <w:szCs w:val="32"/>
        </w:rPr>
        <w:br w:type="page"/>
      </w:r>
    </w:p>
    <w:p>
      <w:pPr>
        <w:pStyle w:val="3"/>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中国重汽集团（半）自动体外除颤仪（AED）统一采购及服务项目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285809451"/>
      <w:bookmarkEnd w:id="5"/>
      <w:bookmarkStart w:id="6" w:name="_Toc179632530"/>
      <w:bookmarkEnd w:id="6"/>
      <w:bookmarkStart w:id="7" w:name="_Toc152042290"/>
      <w:bookmarkEnd w:id="7"/>
      <w:bookmarkStart w:id="8" w:name="_Toc144974482"/>
      <w:bookmarkEnd w:id="8"/>
      <w:bookmarkStart w:id="9" w:name="_Toc152045514"/>
      <w:bookmarkEnd w:id="9"/>
      <w:r>
        <w:rPr>
          <w:rFonts w:hint="default" w:asciiTheme="minorEastAsia" w:hAnsiTheme="minorEastAsia" w:eastAsiaTheme="minorEastAsia" w:cstheme="minorEastAsia"/>
          <w:kern w:val="0"/>
          <w:sz w:val="24"/>
          <w:szCs w:val="24"/>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w:t>
      </w:r>
      <w:r>
        <w:rPr>
          <w:rFonts w:hint="eastAsia" w:asciiTheme="minorEastAsia" w:hAnsiTheme="minorEastAsia" w:eastAsiaTheme="minorEastAsia" w:cstheme="minorEastAsia"/>
          <w:sz w:val="24"/>
          <w:szCs w:val="24"/>
          <w:highlight w:val="none"/>
          <w:u w:val="single"/>
          <w:lang w:val="en-US" w:eastAsia="zh-CN"/>
        </w:rPr>
        <w:t xml:space="preserve">中国重汽集团（半）自动体外除颤仪（AED）统一采购及服务项目 </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default" w:asciiTheme="minorEastAsia" w:hAnsiTheme="minorEastAsia" w:eastAsiaTheme="minorEastAsia" w:cstheme="minorEastAsia"/>
          <w:kern w:val="0"/>
          <w:sz w:val="24"/>
          <w:szCs w:val="24"/>
          <w:highlight w:val="yellow"/>
          <w:u w:val="single"/>
          <w:lang w:eastAsia="zh-CN" w:bidi="en-US"/>
          <w:woUserID w:val="1"/>
        </w:rPr>
        <w:t>ZBGL2026020300</w:t>
      </w:r>
      <w:r>
        <w:rPr>
          <w:rFonts w:hint="eastAsia" w:asciiTheme="minorEastAsia" w:hAnsiTheme="minorEastAsia" w:eastAsiaTheme="minorEastAsia" w:cstheme="minorEastAsia"/>
          <w:kern w:val="0"/>
          <w:sz w:val="24"/>
          <w:szCs w:val="24"/>
          <w:highlight w:val="none"/>
          <w:lang w:bidi="en-US"/>
        </w:rPr>
        <w:t>；</w:t>
      </w:r>
    </w:p>
    <w:p>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3</w:t>
      </w:r>
      <w:r>
        <w:rPr>
          <w:rFonts w:hint="default" w:asciiTheme="minorEastAsia" w:hAnsiTheme="minorEastAsia" w:eastAsiaTheme="minorEastAsia" w:cstheme="minorEastAsia"/>
          <w:kern w:val="0"/>
          <w:sz w:val="24"/>
          <w:szCs w:val="24"/>
          <w:highlight w:val="none"/>
          <w:lang w:val="en-US" w:eastAsia="zh-CN" w:bidi="en-US"/>
        </w:rPr>
        <w:t>．</w:t>
      </w:r>
      <w:r>
        <w:rPr>
          <w:rFonts w:hint="eastAsia" w:asciiTheme="minorEastAsia" w:hAnsiTheme="minorEastAsia" w:eastAsiaTheme="minorEastAsia" w:cstheme="minorEastAsia"/>
          <w:kern w:val="0"/>
          <w:sz w:val="24"/>
          <w:szCs w:val="24"/>
          <w:highlight w:val="none"/>
          <w:lang w:val="en-US" w:eastAsia="zh-CN" w:bidi="en-US"/>
        </w:rPr>
        <w:t>采购内容：</w:t>
      </w:r>
    </w:p>
    <w:p>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1）.产品名称/型号：迈瑞 Mindray 半自动体外除颤器 BeneHeart S2</w:t>
      </w:r>
    </w:p>
    <w:p>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2）.技术要求：（技术参数参考附件3）；</w:t>
      </w:r>
    </w:p>
    <w:p>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3）.服务要求：</w:t>
      </w:r>
    </w:p>
    <w:p>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供货后组织各单位使用培训；</w:t>
      </w:r>
    </w:p>
    <w:p>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每季度对设备维护保养；</w:t>
      </w:r>
    </w:p>
    <w:p>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使用期间电极片使用后，适当给予补充使用设备。</w:t>
      </w:r>
    </w:p>
    <w:p>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val="en-US" w:eastAsia="zh-CN" w:bidi="en-US"/>
        </w:rPr>
      </w:pPr>
      <w:r>
        <w:rPr>
          <w:rFonts w:hint="eastAsia" w:asciiTheme="minorEastAsia" w:hAnsiTheme="minorEastAsia" w:eastAsiaTheme="minorEastAsia" w:cstheme="minorEastAsia"/>
          <w:kern w:val="0"/>
          <w:sz w:val="24"/>
          <w:szCs w:val="24"/>
          <w:highlight w:val="none"/>
          <w:lang w:val="en-US" w:eastAsia="zh-CN" w:bidi="en-US"/>
        </w:rPr>
        <w:t>4</w:t>
      </w:r>
      <w:r>
        <w:rPr>
          <w:rFonts w:hint="default" w:asciiTheme="minorEastAsia" w:hAnsiTheme="minorEastAsia" w:eastAsiaTheme="minorEastAsia" w:cstheme="minorEastAsia"/>
          <w:kern w:val="0"/>
          <w:sz w:val="24"/>
          <w:szCs w:val="24"/>
          <w:highlight w:val="none"/>
          <w:lang w:val="en-US" w:eastAsia="zh-CN" w:bidi="en-US"/>
        </w:rPr>
        <w:t>．</w:t>
      </w:r>
      <w:r>
        <w:rPr>
          <w:rFonts w:hint="eastAsia" w:asciiTheme="minorEastAsia" w:hAnsiTheme="minorEastAsia" w:eastAsiaTheme="minorEastAsia" w:cstheme="minorEastAsia"/>
          <w:kern w:val="0"/>
          <w:sz w:val="24"/>
          <w:szCs w:val="24"/>
          <w:highlight w:val="none"/>
          <w:lang w:val="en-US" w:eastAsia="zh-CN" w:bidi="en-US"/>
        </w:rPr>
        <w:t>资金来源：企业自筹，已落实；</w:t>
      </w:r>
    </w:p>
    <w:p>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1、投标人必须是依法注册并有效存续的独立企业法人，具有独立承担民事责任能力；投标人须遵守《中华人民共和国招标投标法》、《中华人民共和国民法典》及其它有关的法律和法规；</w:t>
      </w:r>
    </w:p>
    <w:p>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2、公司注册资金不少于500万元人民币、成立三年及以上；经营范围满足招标项目需求，并在人员、设备、资金等方面具有承担本项目的能力；提供统一社会信用代码的新版营业执照副本扫描件（加盖公章）；</w:t>
      </w:r>
    </w:p>
    <w:p>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3、具有良好的商业信誉，在国家企业信用信息公示系统中无行政处罚、经营异常或失信信息或上述信息已被移除；</w:t>
      </w:r>
    </w:p>
    <w:p>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4、具有健全的财务会计制度，有依法缴纳税收和社会保障资金的良好记录，</w:t>
      </w:r>
    </w:p>
    <w:p>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5、近三年内未发生过安全生产事故；且在近三年内的经营活动中经营业绩良好并且没有违法违纪行为；</w:t>
      </w:r>
    </w:p>
    <w:p>
      <w:pPr>
        <w:pStyle w:val="24"/>
        <w:spacing w:line="360" w:lineRule="auto"/>
        <w:ind w:firstLine="480" w:firstLineChars="200"/>
        <w:rPr>
          <w:rFonts w:hint="eastAsia" w:ascii="宋体" w:hAnsi="宋体" w:eastAsia="宋体" w:cs="宋体"/>
          <w:highlight w:val="none"/>
          <w:lang w:val="en-US" w:eastAsia="zh-CN"/>
        </w:rPr>
      </w:pPr>
      <w:r>
        <w:rPr>
          <w:rFonts w:hint="eastAsia" w:hAnsi="宋体" w:eastAsia="宋体" w:cs="宋体"/>
          <w:highlight w:val="none"/>
          <w:lang w:val="en-US" w:eastAsia="zh-CN"/>
        </w:rPr>
        <w:t>6、投标人没有被列入招标人处《黑名单》（《黑名单》指投标人与招标人在以往或正在进行的合作中，存在招标</w:t>
      </w:r>
      <w:r>
        <w:rPr>
          <w:rFonts w:hint="eastAsia" w:ascii="宋体" w:hAnsi="宋体" w:eastAsia="宋体" w:cs="宋体"/>
          <w:highlight w:val="none"/>
          <w:lang w:val="en-US" w:eastAsia="zh-CN"/>
        </w:rPr>
        <w:t>人认为的违反合同约定或违反法律法规等的失信行为）的；</w:t>
      </w:r>
    </w:p>
    <w:p>
      <w:pPr>
        <w:pStyle w:val="24"/>
        <w:spacing w:line="360" w:lineRule="auto"/>
        <w:ind w:firstLine="480" w:firstLineChars="200"/>
        <w:rPr>
          <w:rFonts w:hint="eastAsia" w:ascii="宋体" w:hAnsi="宋体" w:eastAsia="宋体" w:cs="宋体"/>
          <w:highlight w:val="none"/>
          <w:lang w:val="en-US" w:eastAsia="zh-CN"/>
        </w:rPr>
      </w:pPr>
      <w:r>
        <w:rPr>
          <w:rFonts w:hint="eastAsia" w:ascii="宋体" w:hAnsi="宋体" w:eastAsia="宋体" w:cs="宋体"/>
          <w:highlight w:val="none"/>
          <w:lang w:val="en-US" w:eastAsia="zh-CN"/>
        </w:rPr>
        <w:t>7、具备合法有效《医疗器械经营许可证》（三类）经营范围满足招标人需求。</w:t>
      </w:r>
    </w:p>
    <w:p>
      <w:pPr>
        <w:pStyle w:val="24"/>
        <w:spacing w:line="360" w:lineRule="auto"/>
        <w:ind w:firstLine="480" w:firstLineChars="200"/>
        <w:rPr>
          <w:rFonts w:hint="eastAsia" w:hAnsi="宋体" w:eastAsia="宋体" w:cs="宋体"/>
          <w:highlight w:val="none"/>
          <w:lang w:val="en-US" w:eastAsia="zh-CN"/>
        </w:rPr>
      </w:pPr>
      <w:r>
        <w:rPr>
          <w:rFonts w:hint="eastAsia" w:ascii="宋体" w:hAnsi="宋体" w:eastAsia="宋体" w:cs="宋体"/>
          <w:highlight w:val="none"/>
          <w:lang w:val="en-US" w:eastAsia="zh-CN"/>
        </w:rPr>
        <w:t>8、投标人的直接或间接股东</w:t>
      </w:r>
      <w:r>
        <w:rPr>
          <w:rFonts w:hint="eastAsia" w:hAnsi="宋体" w:eastAsia="宋体" w:cs="宋体"/>
          <w:highlight w:val="none"/>
          <w:lang w:val="en-US" w:eastAsia="zh-CN"/>
        </w:rPr>
        <w:t xml:space="preserve">、法定代表人、董事、监事和高管均非中国重汽员工及其亲属； </w:t>
      </w:r>
    </w:p>
    <w:p>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9、投标人必须是最终投标、中标并签订合同的单位，不得以任何理由将已中标项目以任何形式转包给其他单位；</w:t>
      </w:r>
    </w:p>
    <w:p>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10、本次招标项目不接受联合体投标；</w:t>
      </w:r>
    </w:p>
    <w:p>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11、投标人须认可招标人的工作指令，包括节假日、夜间能正常开展工作的要求；</w:t>
      </w:r>
    </w:p>
    <w:p>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12、招标文件的修改通知书构成招标文件的一部分，对投标人具有约束力；</w:t>
      </w:r>
    </w:p>
    <w:p>
      <w:pPr>
        <w:pStyle w:val="24"/>
        <w:spacing w:line="360" w:lineRule="auto"/>
        <w:ind w:firstLine="480" w:firstLineChars="200"/>
        <w:rPr>
          <w:rFonts w:hint="eastAsia" w:hAnsi="宋体" w:eastAsia="宋体" w:cs="宋体"/>
          <w:b/>
          <w:bCs/>
          <w:highlight w:val="none"/>
          <w:lang w:eastAsia="zh-CN"/>
        </w:rPr>
      </w:pPr>
      <w:r>
        <w:rPr>
          <w:rFonts w:hint="eastAsia" w:hAnsi="宋体" w:eastAsia="宋体" w:cs="宋体"/>
          <w:highlight w:val="none"/>
          <w:lang w:val="en-US" w:eastAsia="zh-CN"/>
        </w:rPr>
        <w:t>13、投标人应认真审阅招标方编制的招标文件,与招标人指派的答疑人员充分沟通，理解认可并接受相关技术规范及服务要求。自投标人在e采通参与了该项目的投标，则视同投标方认可招标文本和由于招标人上级集团公司政策变化引起的合同签订前终止项目的相关要求。</w:t>
      </w:r>
    </w:p>
    <w:p>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pPr>
        <w:keepNext/>
        <w:keepLines/>
        <w:spacing w:line="360" w:lineRule="auto"/>
        <w:ind w:firstLine="480"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pPr>
        <w:keepNext/>
        <w:keepLines/>
        <w:spacing w:line="360" w:lineRule="auto"/>
        <w:ind w:firstLine="480" w:firstLineChars="200"/>
        <w:outlineLvl w:val="2"/>
        <w:rPr>
          <w:rFonts w:hint="eastAsia"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报名截止时间：2026年3月7日17：00</w:t>
      </w:r>
    </w:p>
    <w:p>
      <w:pPr>
        <w:keepNext/>
        <w:keepLines/>
        <w:spacing w:line="360" w:lineRule="auto"/>
        <w:ind w:firstLine="480" w:firstLineChars="200"/>
        <w:outlineLvl w:val="2"/>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pPr>
        <w:pStyle w:val="43"/>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pPr>
        <w:pStyle w:val="43"/>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：请根据《SRM非生产供应商注册手册》（附件一）完成平台账号注册。</w:t>
      </w:r>
    </w:p>
    <w:p>
      <w:pPr>
        <w:pStyle w:val="43"/>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已注册供应商</w:t>
      </w:r>
      <w:r>
        <w:rPr>
          <w:rFonts w:hint="eastAsia" w:ascii="宋体" w:hAnsi="宋体" w:eastAsia="宋体" w:cs="宋体"/>
          <w:kern w:val="2"/>
          <w:sz w:val="24"/>
          <w:szCs w:val="24"/>
          <w:lang w:val="en-US" w:eastAsia="zh-CN" w:bidi="ar"/>
        </w:rPr>
        <w:t>：请登录系统核对系统中202</w:t>
      </w:r>
      <w:r>
        <w:rPr>
          <w:rFonts w:hint="eastAsia" w:cs="宋体"/>
          <w:kern w:val="2"/>
          <w:sz w:val="24"/>
          <w:szCs w:val="24"/>
          <w:lang w:val="en-US" w:eastAsia="zh-CN" w:bidi="ar"/>
        </w:rPr>
        <w:t>3</w:t>
      </w:r>
      <w:r>
        <w:rPr>
          <w:rFonts w:hint="eastAsia" w:ascii="宋体" w:hAnsi="宋体" w:eastAsia="宋体" w:cs="宋体"/>
          <w:kern w:val="2"/>
          <w:sz w:val="24"/>
          <w:szCs w:val="24"/>
          <w:lang w:val="en-US" w:eastAsia="zh-CN" w:bidi="ar"/>
        </w:rPr>
        <w:t>-202</w:t>
      </w:r>
      <w:r>
        <w:rPr>
          <w:rFonts w:hint="eastAsia" w:cs="宋体"/>
          <w:kern w:val="2"/>
          <w:sz w:val="24"/>
          <w:szCs w:val="24"/>
          <w:lang w:val="en-US" w:eastAsia="zh-CN" w:bidi="ar"/>
        </w:rPr>
        <w:t>5</w:t>
      </w:r>
      <w:r>
        <w:rPr>
          <w:rFonts w:hint="eastAsia" w:ascii="宋体" w:hAnsi="宋体" w:eastAsia="宋体" w:cs="宋体"/>
          <w:kern w:val="2"/>
          <w:sz w:val="24"/>
          <w:szCs w:val="24"/>
          <w:lang w:val="en-US" w:eastAsia="zh-CN" w:bidi="ar"/>
        </w:rPr>
        <w:t>年度财务数据。如尚未填写或信息不全，请参照《SRM非生产供应商注册手册》（附件二）及时进行补充与更新，确保信息真实、完整。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pPr>
        <w:pStyle w:val="43"/>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pPr>
        <w:pStyle w:val="43"/>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pPr>
        <w:pStyle w:val="43"/>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保证金缴纳凭证；近三年财务报表；企业最近半年完税证明、信用证明材料（中国人民银行信用代码证+征信报告）；年度纳税信用评价信息（可从电子税务局查询截图，需加盖公章）；企业对外担保说明（写明贵单位对外有无对外担保和质押业务，需加盖公章）；</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（3）企业业绩：证明投标人满足投标资料表中列出的业绩要求的文件：近三年（2023年1月1日至今）类似项目业绩及合同复印件（加盖公章，须有客户联系方式及联系人以供招标人核实确认）；</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14</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17</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1</w:t>
      </w:r>
      <w:r>
        <w:rPr>
          <w:rFonts w:hint="default" w:asciiTheme="minorEastAsia" w:hAnsiTheme="minorEastAsia" w:eastAsiaTheme="minorEastAsia" w:cstheme="minorEastAsia"/>
          <w:b/>
          <w:sz w:val="24"/>
          <w:szCs w:val="24"/>
          <w:highlight w:val="yellow"/>
          <w:lang w:eastAsia="zh-CN"/>
          <w:woUserID w:val="1"/>
        </w:rPr>
        <w:t>7</w:t>
      </w:r>
      <w:bookmarkStart w:id="19" w:name="_GoBack"/>
      <w:bookmarkEnd w:id="19"/>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待定(投标完成后联系商务联系人，发送投标保证金缴纳凭证获取会议链接号)）</w:t>
      </w:r>
    </w:p>
    <w:p>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val="0"/>
          <w:bCs/>
          <w:sz w:val="24"/>
          <w:szCs w:val="24"/>
          <w:lang w:val="en-US" w:eastAsia="zh-CN"/>
        </w:rPr>
        <w:t>.开标地点：线上会议</w:t>
      </w:r>
    </w:p>
    <w:p>
      <w:pPr>
        <w:pStyle w:val="151"/>
        <w:numPr>
          <w:ilvl w:val="0"/>
          <w:numId w:val="0"/>
        </w:numPr>
        <w:adjustRightInd w:val="0"/>
        <w:snapToGrid w:val="0"/>
        <w:spacing w:line="360" w:lineRule="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赵</w:t>
      </w:r>
      <w:r>
        <w:rPr>
          <w:rFonts w:hint="eastAsia" w:asciiTheme="minorEastAsia" w:hAnsiTheme="minorEastAsia" w:eastAsiaTheme="minorEastAsia" w:cstheme="minorEastAsia"/>
          <w:sz w:val="24"/>
          <w:szCs w:val="24"/>
          <w:highlight w:val="none"/>
          <w:lang w:val="en-US" w:eastAsia="zh-CN"/>
        </w:rPr>
        <w:t>老师 13806401110 zhaoxu@sinotruk.com</w:t>
      </w:r>
    </w:p>
    <w:p>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w:t>
      </w:r>
      <w:r>
        <w:rPr>
          <w:rFonts w:hint="eastAsia" w:asciiTheme="minorEastAsia" w:hAnsiTheme="minorEastAsia" w:eastAsiaTheme="minorEastAsia" w:cstheme="minorEastAsia"/>
          <w:sz w:val="24"/>
          <w:szCs w:val="24"/>
          <w:lang w:val="en-US" w:eastAsia="zh-CN"/>
        </w:rPr>
        <w:t>合理最低价评标</w:t>
      </w:r>
      <w:r>
        <w:rPr>
          <w:rFonts w:hint="eastAsia" w:asciiTheme="minorEastAsia" w:hAnsiTheme="minorEastAsia" w:eastAsiaTheme="minorEastAsia" w:cstheme="minorEastAsia"/>
          <w:sz w:val="24"/>
          <w:szCs w:val="24"/>
        </w:rPr>
        <w:t>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w:t>
      </w:r>
      <w:r>
        <w:rPr>
          <w:rFonts w:hint="eastAsia" w:asciiTheme="minorEastAsia" w:hAnsiTheme="minorEastAsia" w:eastAsiaTheme="minorEastAsia" w:cstheme="minorEastAsia"/>
          <w:sz w:val="24"/>
          <w:szCs w:val="24"/>
          <w:lang w:val="en-US" w:eastAsia="zh-CN"/>
        </w:rPr>
        <w:t>合理最低价</w:t>
      </w:r>
      <w:r>
        <w:rPr>
          <w:rFonts w:hint="eastAsia" w:asciiTheme="minorEastAsia" w:hAnsiTheme="minorEastAsia" w:eastAsiaTheme="minorEastAsia" w:cstheme="minorEastAsia"/>
          <w:sz w:val="24"/>
          <w:szCs w:val="24"/>
        </w:rPr>
        <w:t>为本项目中标人。</w:t>
      </w:r>
    </w:p>
    <w:p>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pPr>
        <w:spacing w:line="360" w:lineRule="auto"/>
        <w:ind w:firstLine="480"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pPr>
        <w:pStyle w:val="151"/>
        <w:numPr>
          <w:ilvl w:val="0"/>
          <w:numId w:val="4"/>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（4）证明投标人满足投标资料表中列出的业绩要求的文件：近三年（2023年1月1日至今）类似项目业绩及合同复印件（加盖公章，须有客户联系方式及联系人以供招标人核实确认）；</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（5）近三年财务报表；企业最近半年完税证明、信用证明材料（中国人民银行信用代码证+征信报告）；</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（6）年度纳税信用评价信息（可从电子税务局查询截图，需加盖公章）；企业对外担保说明（写明贵单位对外有无对外担保和质押业务，需加盖公章）；</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（7）投标保证金缴纳凭证（应标时不做要求，投标时需随资质文件一同上传）。</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注：可做正偏离，但不允许有低于本招标文件相关要求的情况出现，否则视为主动放弃本项目投标。</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（2）综合说明；</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（3）技术标书中严禁出现与投标报价有关的内容。</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（3）商务条款偏离表；</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（4）分项报价明细表；</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（5）其他需要说明的事项。</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投标人可免费提供的、包含但不限于招标人所要求的其他相关服务内容，在其“开标一览表”中一并说明。</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（3）投标人须认可招标人由于招标人上级集团公司政策变化引起的合同签订前终止项目的要求。如投标人不认可、不接受，则投标人相关商务条款偏离表中注明“不接受”字。</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（4）要求招标人或相关合同签订单位提供的配合，在标书文件中说明。</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（1）本次招标为公开招标，报价应为：</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（2）所有报价货币单位为：万元（人民币），含税，及税率；</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（3）付款结算方式：</w:t>
      </w:r>
      <w:r>
        <w:rPr>
          <w:rFonts w:hint="eastAsia" w:asciiTheme="minorEastAsia" w:hAnsiTheme="minorEastAsia" w:eastAsiaTheme="minorEastAsia" w:cstheme="minorEastAsia"/>
          <w:kern w:val="2"/>
          <w:sz w:val="24"/>
          <w:szCs w:val="24"/>
          <w:highlight w:val="yellow"/>
          <w:lang w:val="en-US" w:eastAsia="zh-CN" w:bidi="ar-SA"/>
        </w:rPr>
        <w:t>半年期商业汇票（包括银行承兑汇票和商业承兑汇票）</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付款说明：合同签订后，中标方提供产品，产品到货后，根据招标方提供的开票信息，10天后，开具100%发票，招标单位收到发票及收据后，30天内进行付款100%，365天后，中标方提示甲方付履约保证金。质量保证金在质量保证期内不计利息。。</w:t>
      </w:r>
    </w:p>
    <w:p>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（4）项目预算：含税25.8万元。</w:t>
      </w:r>
    </w:p>
    <w:p>
      <w:pPr>
        <w:pStyle w:val="5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pPr>
        <w:pStyle w:val="151"/>
        <w:numPr>
          <w:ilvl w:val="0"/>
          <w:numId w:val="5"/>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pPr>
        <w:pStyle w:val="151"/>
        <w:keepNext w:val="0"/>
        <w:keepLines w:val="0"/>
        <w:pageBreakBefore w:val="0"/>
        <w:widowControl w:val="0"/>
        <w:numPr>
          <w:ilvl w:val="0"/>
          <w:numId w:val="5"/>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none"/>
          <w:u w:val="single"/>
        </w:rPr>
        <w:t>202</w:t>
      </w:r>
      <w:r>
        <w:rPr>
          <w:rFonts w:hint="eastAsia" w:asciiTheme="minorEastAsia" w:hAnsiTheme="minorEastAsia" w:eastAsiaTheme="minorEastAsia" w:cstheme="minorEastAsia"/>
          <w:b/>
          <w:bCs/>
          <w:color w:val="000000"/>
          <w:sz w:val="24"/>
          <w:szCs w:val="24"/>
          <w:highlight w:val="none"/>
          <w:u w:val="single"/>
          <w:lang w:val="en-US" w:eastAsia="zh-CN"/>
        </w:rPr>
        <w:t>6</w:t>
      </w:r>
      <w:r>
        <w:rPr>
          <w:rFonts w:hint="eastAsia" w:asciiTheme="minorEastAsia" w:hAnsiTheme="minorEastAsia" w:eastAsiaTheme="minorEastAsia" w:cstheme="minorEastAsia"/>
          <w:b/>
          <w:bCs/>
          <w:color w:val="000000"/>
          <w:sz w:val="24"/>
          <w:szCs w:val="24"/>
          <w:highlight w:val="none"/>
          <w:u w:val="single"/>
        </w:rPr>
        <w:t>年</w:t>
      </w:r>
      <w:r>
        <w:rPr>
          <w:rFonts w:hint="eastAsia" w:asciiTheme="minorEastAsia" w:hAnsiTheme="minorEastAsia" w:eastAsiaTheme="minorEastAsia" w:cstheme="minorEastAsia"/>
          <w:b/>
          <w:bCs/>
          <w:color w:val="000000"/>
          <w:sz w:val="24"/>
          <w:szCs w:val="24"/>
          <w:highlight w:val="none"/>
          <w:u w:val="single"/>
          <w:lang w:val="en-US" w:eastAsia="zh-CN"/>
        </w:rPr>
        <w:t>3</w:t>
      </w:r>
      <w:r>
        <w:rPr>
          <w:rFonts w:hint="eastAsia" w:asciiTheme="minorEastAsia" w:hAnsiTheme="minorEastAsia" w:eastAsiaTheme="minorEastAsia" w:cstheme="minorEastAsia"/>
          <w:b/>
          <w:bCs/>
          <w:color w:val="000000"/>
          <w:sz w:val="24"/>
          <w:szCs w:val="24"/>
          <w:highlight w:val="none"/>
          <w:u w:val="single"/>
        </w:rPr>
        <w:t>月</w:t>
      </w:r>
      <w:r>
        <w:rPr>
          <w:rFonts w:hint="eastAsia" w:asciiTheme="minorEastAsia" w:hAnsiTheme="minorEastAsia" w:eastAsiaTheme="minorEastAsia" w:cstheme="minorEastAsia"/>
          <w:b/>
          <w:bCs/>
          <w:color w:val="000000"/>
          <w:sz w:val="24"/>
          <w:szCs w:val="24"/>
          <w:highlight w:val="none"/>
          <w:u w:val="single"/>
          <w:lang w:val="en-US" w:eastAsia="zh-CN"/>
        </w:rPr>
        <w:t>7</w:t>
      </w:r>
      <w:r>
        <w:rPr>
          <w:rFonts w:hint="eastAsia" w:asciiTheme="minorEastAsia" w:hAnsiTheme="minorEastAsia" w:eastAsiaTheme="minorEastAsia" w:cstheme="minorEastAsia"/>
          <w:b/>
          <w:bCs/>
          <w:color w:val="000000"/>
          <w:sz w:val="24"/>
          <w:szCs w:val="24"/>
          <w:highlight w:val="none"/>
          <w:u w:val="single"/>
        </w:rPr>
        <w:t>日</w:t>
      </w:r>
      <w:r>
        <w:rPr>
          <w:rFonts w:hint="eastAsia" w:asciiTheme="minorEastAsia" w:hAnsiTheme="minorEastAsia" w:eastAsiaTheme="minorEastAsia" w:cstheme="minorEastAsia"/>
          <w:b/>
          <w:bCs/>
          <w:color w:val="000000"/>
          <w:sz w:val="24"/>
          <w:szCs w:val="24"/>
          <w:highlight w:val="none"/>
          <w:u w:val="single"/>
          <w:lang w:val="en-US" w:eastAsia="zh-CN"/>
        </w:rPr>
        <w:t>17</w:t>
      </w:r>
      <w:r>
        <w:rPr>
          <w:rFonts w:hint="eastAsia" w:asciiTheme="minorEastAsia" w:hAnsiTheme="minorEastAsia" w:eastAsiaTheme="minorEastAsia" w:cstheme="minorEastAsia"/>
          <w:b/>
          <w:bCs/>
          <w:color w:val="000000"/>
          <w:sz w:val="24"/>
          <w:szCs w:val="24"/>
          <w:highlight w:val="none"/>
          <w:u w:val="single"/>
        </w:rPr>
        <w:t xml:space="preserve">:00 </w:t>
      </w:r>
      <w:r>
        <w:rPr>
          <w:rFonts w:hint="eastAsia" w:asciiTheme="minorEastAsia" w:hAnsiTheme="minorEastAsia" w:eastAsiaTheme="minorEastAsia" w:cstheme="minorEastAsia"/>
          <w:b/>
          <w:color w:val="000000"/>
          <w:sz w:val="24"/>
          <w:szCs w:val="24"/>
          <w:highlight w:val="none"/>
          <w:u w:val="singl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pPr>
        <w:keepNext w:val="0"/>
        <w:keepLines w:val="0"/>
        <w:pageBreakBefore w:val="0"/>
        <w:widowControl w:val="0"/>
        <w:tabs>
          <w:tab w:val="left" w:pos="932"/>
        </w:tabs>
        <w:kinsoku/>
        <w:wordWrap/>
        <w:overflowPunct/>
        <w:topLinePunct w:val="0"/>
        <w:autoSpaceDE/>
        <w:autoSpaceDN/>
        <w:bidi w:val="0"/>
        <w:adjustRightInd/>
        <w:spacing w:line="360" w:lineRule="auto"/>
        <w:ind w:firstLine="480"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收款账号：37001616508050150300</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开户行名称：中国建设银行股份有限公司济南天桥支行</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开户行行号：105451000362</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pPr>
        <w:pStyle w:val="151"/>
        <w:numPr>
          <w:ilvl w:val="0"/>
          <w:numId w:val="5"/>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pPr>
        <w:pStyle w:val="151"/>
        <w:numPr>
          <w:ilvl w:val="0"/>
          <w:numId w:val="7"/>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pPr>
        <w:snapToGrid w:val="0"/>
        <w:spacing w:line="360" w:lineRule="auto"/>
        <w:ind w:firstLine="480"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5"/>
      <w:bookmarkStart w:id="11" w:name="OLE_LINK28"/>
      <w:bookmarkStart w:id="12" w:name="OLE_LINK29"/>
      <w:bookmarkStart w:id="13" w:name="OLE_LINK26"/>
      <w:bookmarkStart w:id="14" w:name="OLE_LINK27"/>
      <w:r>
        <w:rPr>
          <w:rFonts w:hint="eastAsia" w:ascii="宋体" w:hAnsi="宋体" w:eastAsia="宋体" w:cs="宋体"/>
          <w:bCs/>
          <w:sz w:val="24"/>
          <w:szCs w:val="24"/>
          <w:highlight w:val="none"/>
        </w:rPr>
        <w:t>；</w:t>
      </w:r>
      <w:bookmarkEnd w:id="10"/>
      <w:bookmarkEnd w:id="11"/>
      <w:bookmarkEnd w:id="12"/>
      <w:bookmarkEnd w:id="13"/>
      <w:bookmarkEnd w:id="14"/>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pPr>
        <w:pStyle w:val="2"/>
        <w:numPr>
          <w:ilvl w:val="0"/>
          <w:numId w:val="0"/>
        </w:numPr>
        <w:adjustRightInd w:val="0"/>
        <w:snapToGrid w:val="0"/>
        <w:spacing w:before="0" w:after="0" w:line="540" w:lineRule="exact"/>
        <w:jc w:val="center"/>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p>
      <w:pPr>
        <w:numPr>
          <w:ilvl w:val="0"/>
          <w:numId w:val="8"/>
        </w:numPr>
        <w:rPr>
          <w:rFonts w:hint="eastAsia" w:eastAsia="黑体"/>
          <w:b/>
          <w:bCs/>
          <w:sz w:val="24"/>
          <w:szCs w:val="24"/>
        </w:rPr>
      </w:pPr>
      <w:r>
        <w:rPr>
          <w:rFonts w:hint="eastAsia" w:eastAsia="黑体"/>
          <w:b/>
          <w:bCs/>
          <w:sz w:val="24"/>
          <w:szCs w:val="24"/>
        </w:rPr>
        <w:t>项目名称</w:t>
      </w:r>
    </w:p>
    <w:p>
      <w:pPr>
        <w:numPr>
          <w:ilvl w:val="0"/>
          <w:numId w:val="0"/>
        </w:numPr>
        <w:rPr>
          <w:rFonts w:hint="eastAsia" w:ascii="仿宋" w:hAnsi="仿宋" w:eastAsia="仿宋_GB2312"/>
          <w:sz w:val="24"/>
          <w:szCs w:val="24"/>
        </w:rPr>
      </w:pPr>
      <w:r>
        <w:rPr>
          <w:rFonts w:hint="eastAsia" w:ascii="仿宋" w:hAnsi="仿宋" w:eastAsia="仿宋_GB2312"/>
          <w:sz w:val="24"/>
          <w:szCs w:val="24"/>
          <w:lang w:val="en-US" w:eastAsia="zh-CN"/>
        </w:rPr>
        <w:t>中国重汽集团</w:t>
      </w:r>
      <w:r>
        <w:rPr>
          <w:rFonts w:hint="eastAsia" w:ascii="仿宋" w:hAnsi="仿宋" w:eastAsia="仿宋_GB2312"/>
          <w:sz w:val="24"/>
          <w:szCs w:val="24"/>
        </w:rPr>
        <w:t>202</w:t>
      </w:r>
      <w:r>
        <w:rPr>
          <w:rFonts w:hint="eastAsia" w:ascii="仿宋" w:hAnsi="仿宋" w:eastAsia="仿宋_GB2312"/>
          <w:sz w:val="24"/>
          <w:szCs w:val="24"/>
          <w:lang w:val="en-US" w:eastAsia="zh-CN"/>
        </w:rPr>
        <w:t>6</w:t>
      </w:r>
      <w:r>
        <w:rPr>
          <w:rFonts w:hint="eastAsia" w:ascii="仿宋" w:hAnsi="仿宋" w:eastAsia="仿宋_GB2312"/>
          <w:sz w:val="24"/>
          <w:szCs w:val="24"/>
        </w:rPr>
        <w:t>年（半）自动体外除颤器采购项目</w:t>
      </w:r>
    </w:p>
    <w:p>
      <w:pPr>
        <w:numPr>
          <w:ilvl w:val="0"/>
          <w:numId w:val="0"/>
        </w:numPr>
        <w:rPr>
          <w:rFonts w:hint="eastAsia" w:eastAsia="黑体"/>
          <w:b/>
          <w:bCs/>
          <w:sz w:val="24"/>
          <w:szCs w:val="24"/>
        </w:rPr>
      </w:pPr>
      <w:r>
        <w:rPr>
          <w:rFonts w:hint="eastAsia" w:ascii="仿宋" w:hAnsi="仿宋" w:eastAsia="仿宋_GB2312"/>
          <w:sz w:val="24"/>
          <w:szCs w:val="24"/>
          <w:lang w:val="en-US" w:eastAsia="zh-CN"/>
        </w:rPr>
        <w:t>二、</w:t>
      </w:r>
      <w:r>
        <w:rPr>
          <w:rFonts w:hint="eastAsia" w:eastAsia="黑体"/>
          <w:b/>
          <w:bCs/>
          <w:sz w:val="24"/>
          <w:szCs w:val="24"/>
        </w:rPr>
        <w:t>项目内容</w:t>
      </w:r>
    </w:p>
    <w:p>
      <w:pPr>
        <w:spacing w:line="360" w:lineRule="auto"/>
        <w:ind w:right="278" w:firstLine="480" w:firstLineChars="200"/>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中国重型汽车集团有限公司（济南卡车制造公司、济南商用车制造公司、济南变速箱厂、济南发动机厂、橡塑件公司、特种车公司、产品试验检测中心、济南成型厂、济南轻卡制造公司、济南车桥公司、济南</w:t>
      </w:r>
      <w:r>
        <w:rPr>
          <w:rFonts w:hint="eastAsia" w:ascii="仿宋_GB2312" w:hAnsi="仿宋_GB2312" w:eastAsia="仿宋_GB2312" w:cs="仿宋_GB2312"/>
          <w:color w:val="000000"/>
          <w:kern w:val="0"/>
          <w:sz w:val="24"/>
          <w:szCs w:val="24"/>
          <w:lang w:val="en-US" w:eastAsia="zh-CN" w:bidi="ar"/>
        </w:rPr>
        <w:t>部件</w:t>
      </w:r>
      <w:r>
        <w:rPr>
          <w:rFonts w:hint="eastAsia" w:ascii="仿宋_GB2312" w:hAnsi="仿宋_GB2312" w:eastAsia="仿宋_GB2312" w:cs="仿宋_GB2312"/>
          <w:color w:val="000000"/>
          <w:kern w:val="0"/>
          <w:sz w:val="24"/>
          <w:szCs w:val="24"/>
          <w:lang w:bidi="ar"/>
        </w:rPr>
        <w:t>公司、济南专用车公司）根据</w:t>
      </w:r>
      <w:r>
        <w:rPr>
          <w:rFonts w:hint="eastAsia" w:ascii="仿宋_GB2312" w:hAnsi="仿宋_GB2312" w:eastAsia="仿宋_GB2312" w:cs="仿宋_GB2312"/>
          <w:color w:val="000000"/>
          <w:kern w:val="0"/>
          <w:sz w:val="24"/>
          <w:szCs w:val="24"/>
          <w:lang w:val="en-US" w:eastAsia="zh-CN" w:bidi="ar"/>
        </w:rPr>
        <w:t>集团领导安排对</w:t>
      </w:r>
      <w:r>
        <w:rPr>
          <w:rFonts w:hint="eastAsia" w:ascii="仿宋_GB2312" w:hAnsi="仿宋_GB2312" w:eastAsia="仿宋_GB2312" w:cs="仿宋_GB2312"/>
          <w:color w:val="000000"/>
          <w:kern w:val="0"/>
          <w:sz w:val="24"/>
          <w:szCs w:val="24"/>
          <w:lang w:bidi="ar"/>
        </w:rPr>
        <w:t>济南地区各生产制造单位配置了20台自动体外除颤仪(AED)进行招标。</w:t>
      </w:r>
    </w:p>
    <w:p>
      <w:pPr>
        <w:jc w:val="both"/>
        <w:rPr>
          <w:rFonts w:hint="eastAsia"/>
          <w:b/>
          <w:bCs/>
          <w:sz w:val="24"/>
          <w:szCs w:val="24"/>
          <w:lang w:val="en-US" w:eastAsia="zh-CN"/>
        </w:rPr>
      </w:pPr>
      <w:r>
        <w:rPr>
          <w:rFonts w:hint="eastAsia"/>
          <w:b/>
          <w:bCs/>
          <w:sz w:val="24"/>
          <w:szCs w:val="24"/>
          <w:lang w:val="en-US" w:eastAsia="zh-CN"/>
        </w:rPr>
        <w:t>三、AED除颤仪技术需求</w:t>
      </w:r>
    </w:p>
    <w:p>
      <w:pPr>
        <w:numPr>
          <w:ilvl w:val="0"/>
          <w:numId w:val="9"/>
        </w:numPr>
        <w:ind w:left="425" w:leftChars="0" w:hanging="425" w:firstLineChars="0"/>
        <w:jc w:val="left"/>
        <w:rPr>
          <w:rFonts w:hint="eastAsia"/>
          <w:b/>
          <w:bCs/>
          <w:lang w:val="en-US" w:eastAsia="zh-CN"/>
        </w:rPr>
      </w:pPr>
      <w:r>
        <w:rPr>
          <w:rFonts w:hint="eastAsia"/>
          <w:b/>
          <w:bCs/>
          <w:lang w:val="en-US" w:eastAsia="zh-CN"/>
        </w:rPr>
        <w:t>技术参数</w:t>
      </w:r>
    </w:p>
    <w:p>
      <w:pPr>
        <w:numPr>
          <w:ilvl w:val="0"/>
          <w:numId w:val="10"/>
        </w:numPr>
        <w:ind w:left="425" w:leftChars="0" w:hanging="425" w:firstLineChars="0"/>
        <w:jc w:val="left"/>
        <w:rPr>
          <w:rFonts w:hint="eastAsia"/>
          <w:b/>
          <w:bCs/>
          <w:lang w:val="en-US" w:eastAsia="zh-CN"/>
        </w:rPr>
      </w:pPr>
      <w:r>
        <w:rPr>
          <w:rFonts w:hint="eastAsia"/>
          <w:b/>
          <w:bCs/>
          <w:lang w:val="en-US" w:eastAsia="zh-CN"/>
        </w:rPr>
        <w:t>除颤性能</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采用双相波技术，双相指数截断（BTE）波形，波形参数可根据病人阻抗进行自动补偿；</w:t>
      </w:r>
    </w:p>
    <w:p>
      <w:pPr>
        <w:numPr>
          <w:ilvl w:val="1"/>
          <w:numId w:val="10"/>
        </w:numPr>
        <w:ind w:left="850" w:leftChars="0" w:hanging="453" w:firstLineChars="0"/>
        <w:jc w:val="left"/>
        <w:rPr>
          <w:rFonts w:hint="eastAsia"/>
          <w:b w:val="0"/>
          <w:bCs w:val="0"/>
          <w:lang w:val="en-US" w:eastAsia="zh-CN"/>
        </w:rPr>
      </w:pPr>
      <w:r>
        <w:rPr>
          <w:rFonts w:hint="eastAsia" w:ascii="等线" w:hAnsi="等线" w:eastAsia="等线" w:cs="宋体"/>
          <w:color w:val="000000"/>
          <w:kern w:val="0"/>
          <w:sz w:val="22"/>
          <w:szCs w:val="22"/>
        </w:rPr>
        <w:t>▲</w:t>
      </w:r>
      <w:r>
        <w:rPr>
          <w:rFonts w:hint="eastAsia"/>
          <w:b w:val="0"/>
          <w:bCs w:val="0"/>
          <w:lang w:val="en-US" w:eastAsia="zh-CN"/>
        </w:rPr>
        <w:t>输出能量：成人最大能量≥360J（提供使用说明书证明材料扫描件，原件备查）；</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除颤能量精度：≤±10%（提供使用说明书证明材料扫描件，原件备查）。</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从开机到200J放电准备就绪用时＜8s；</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▲具备心率分析功能，心率分析时间≤5秒，并在心率分析完成后能立刻放电，实施放电应由操作者决定。（提供使用说明书证明材料扫描件，原件备查）；</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可除颤节律分析算法性能应满足GB9706.8-2009和AHA要求，算法评测数据库除厂家临床采集数据以外，还应包含至少以下国际通用评测数据库：MIT-BIH数据库、AHA数据库、VFDB数据库、CU数据库、NST数据库，保证评测结果客观（提供使用说明书证明材料扫描件，原件备查）。</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▲支持0-7岁儿童模式，支持8岁以上成人模式。（提供使用说明书证明材料扫描件，原件备查）。</w:t>
      </w:r>
    </w:p>
    <w:p>
      <w:pPr>
        <w:numPr>
          <w:ilvl w:val="0"/>
          <w:numId w:val="10"/>
        </w:numPr>
        <w:ind w:left="425" w:leftChars="0" w:hanging="425" w:firstLineChars="0"/>
        <w:jc w:val="left"/>
        <w:rPr>
          <w:rFonts w:hint="eastAsia"/>
          <w:b/>
          <w:bCs/>
          <w:lang w:val="en-US" w:eastAsia="zh-CN"/>
        </w:rPr>
      </w:pPr>
      <w:r>
        <w:rPr>
          <w:rFonts w:hint="eastAsia"/>
          <w:b/>
          <w:bCs/>
          <w:lang w:val="en-US" w:eastAsia="zh-CN"/>
        </w:rPr>
        <w:t>除颤电极片</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提供成人儿童一体式多功能电极片，主机支持一键切换成人/儿童模式。</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▲在室温环境下，电极片出厂有效期≥5年（提供使用说明书证明材料扫描件，原件备查）；</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电极片支持预连接，节省抢救时间，预连接不破坏电极片包装有效期；</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电极片上有粘贴部位示意图；</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主机有电极片粘贴位置动画提示；</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有电极片有效期自检功能和电极片过期提示；</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电极片粘贴无效时有语音提示；</w:t>
      </w:r>
    </w:p>
    <w:p>
      <w:pPr>
        <w:numPr>
          <w:ilvl w:val="0"/>
          <w:numId w:val="10"/>
        </w:numPr>
        <w:ind w:left="425" w:leftChars="0" w:hanging="425" w:firstLineChars="0"/>
        <w:jc w:val="left"/>
        <w:rPr>
          <w:rFonts w:hint="eastAsia"/>
          <w:b/>
          <w:bCs/>
          <w:lang w:val="en-US" w:eastAsia="zh-CN"/>
        </w:rPr>
      </w:pPr>
      <w:r>
        <w:rPr>
          <w:rFonts w:hint="eastAsia"/>
          <w:b/>
          <w:bCs/>
          <w:lang w:val="en-US" w:eastAsia="zh-CN"/>
        </w:rPr>
        <w:t>电池性能和系统续航</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▲在环境温度为室温条件下，单个电池待机寿命≥5年（提供电池标签实物图证明材料扫描件，原件备查）。</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满电量情况下，至少可支持：200J除颤≥350次，或360J除颤≥200次（提供使用说明书证明材料扫描件，原件备查）。</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主机具备电池电量检测功能，低电量会报警提示。</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在低电量报警后，至少可提供：持续监护≥30分钟，或200J除颤≥10次，或360J除颤放电≥6次（提供使用说明书证明材料扫描件，原件备查）。</w:t>
      </w:r>
    </w:p>
    <w:p>
      <w:pPr>
        <w:numPr>
          <w:ilvl w:val="0"/>
          <w:numId w:val="10"/>
        </w:numPr>
        <w:ind w:left="425" w:leftChars="0" w:hanging="425" w:firstLineChars="0"/>
        <w:jc w:val="left"/>
        <w:rPr>
          <w:rFonts w:hint="eastAsia"/>
          <w:b/>
          <w:bCs/>
          <w:lang w:val="en-US" w:eastAsia="zh-CN"/>
        </w:rPr>
      </w:pPr>
      <w:r>
        <w:rPr>
          <w:rFonts w:hint="eastAsia"/>
          <w:b/>
          <w:bCs/>
          <w:lang w:val="en-US" w:eastAsia="zh-CN"/>
        </w:rPr>
        <w:t>人机交互界面、功能和操作</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支持开盖开机，主机操作面板上的操作按键数量≤ 3个（提供使用说明书和主机操作面板实物图证明材料扫描件，原件备查）。</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▲标配彩色显示屏，显示尺寸≥7英寸，提供交互式动画指导（包括仪器使用指导和心肺复苏指导）；</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设备屏幕显示亮度可根据环境光强度，自动调节亮度，适应户外强光环境。</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设备屏幕支持显示ECG波形；</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提供中文和英文双语支持，包括界面显示和语音提示，可一键快速切换语言；</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设备能根据环境噪音水平，自动调节语音播放音量，适应急救现场嘈杂环境下使用。（提供使用说明书证明材料扫描件，原件备查）。</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支持成人/小儿患者类型快速一键切换，可根据病人类型自动切换提示信息、除颤能量和CPR按压模式；</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CPR按压模式支持配置30:2,15:2和仅按压模式；</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在CPR仅按压过程中持续提供操作指导和剩余按压次数提示；</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▲可选配配套电极片可监测CPR按压频率，并在屏幕上实时显示，当按压频率不规范时，屏幕上可提供不同颜色反馈（提供使用说明书证明材料扫描件，原件备查）。</w:t>
      </w:r>
    </w:p>
    <w:p>
      <w:pPr>
        <w:numPr>
          <w:ilvl w:val="0"/>
          <w:numId w:val="10"/>
        </w:numPr>
        <w:ind w:left="425" w:leftChars="0" w:hanging="425" w:firstLineChars="0"/>
        <w:jc w:val="left"/>
        <w:rPr>
          <w:rFonts w:hint="eastAsia"/>
          <w:b/>
          <w:bCs/>
          <w:lang w:val="en-US" w:eastAsia="zh-CN"/>
        </w:rPr>
      </w:pPr>
      <w:r>
        <w:rPr>
          <w:rFonts w:hint="eastAsia"/>
          <w:b/>
          <w:bCs/>
          <w:lang w:val="en-US" w:eastAsia="zh-CN"/>
        </w:rPr>
        <w:t>数据传输与存储</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▲数据传输：主机设备内置4G无线数据传输功能，可将自检数据无线传输到采购人远程AED管理平台（提供制造商出具的技术参数白皮书或设备使用说明书证明材料扫描件，原件备查）。</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存储容量：设备的内部存储容量不小于1GB，可存储不少于1000份自检报告；</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具备录音功能，可保存60分钟抢救现场录音；</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数据存储：可存储ECG波形数据、事件数据、录音数据、急救数据（须有急救时间、CPR 持续时间、放电次数等要素）、录音数据等；</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具备USB接口，支持插入外部USB闪存设备导出抢救记录数据；</w:t>
      </w:r>
    </w:p>
    <w:p>
      <w:pPr>
        <w:numPr>
          <w:ilvl w:val="0"/>
          <w:numId w:val="10"/>
        </w:numPr>
        <w:ind w:left="425" w:leftChars="0" w:hanging="425" w:firstLineChars="0"/>
        <w:jc w:val="left"/>
        <w:rPr>
          <w:rFonts w:hint="eastAsia"/>
          <w:b/>
          <w:bCs/>
          <w:lang w:val="en-US" w:eastAsia="zh-CN"/>
        </w:rPr>
      </w:pPr>
      <w:r>
        <w:rPr>
          <w:rFonts w:hint="eastAsia"/>
          <w:b/>
          <w:bCs/>
          <w:lang w:val="en-US" w:eastAsia="zh-CN"/>
        </w:rPr>
        <w:t>设备维护与自检</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设备具有用户自检和设备自检功能，支持每日、每周、每月、每季度的设备自检。</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提供设备状态指示灯：根据自检结果，红灯/绿灯显示设备状态。</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支持设备使用时实时自检和开机自检，检测主控模块、治疗模块、电源模块的状态。</w:t>
      </w:r>
    </w:p>
    <w:p>
      <w:pPr>
        <w:numPr>
          <w:ilvl w:val="0"/>
          <w:numId w:val="10"/>
        </w:numPr>
        <w:ind w:left="425" w:leftChars="0" w:hanging="425" w:firstLineChars="0"/>
        <w:jc w:val="left"/>
        <w:rPr>
          <w:rFonts w:hint="eastAsia"/>
          <w:b/>
          <w:bCs/>
          <w:lang w:val="en-US" w:eastAsia="zh-CN"/>
        </w:rPr>
      </w:pPr>
      <w:r>
        <w:rPr>
          <w:rFonts w:hint="eastAsia"/>
          <w:b/>
          <w:bCs/>
          <w:lang w:val="en-US" w:eastAsia="zh-CN"/>
        </w:rPr>
        <w:t>重量、防护和环境运行性能</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整机重量（含电池）≤2.6kg；</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抗跌落性能：能承受在任何角度跌落后仍然完好无损的高度≥1.5m。</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主机防尘防水级别：高于IP55（提供第三方检测机构出具的检测报告扫描件，原件备查）；</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运行环境温湿度：最高运行环境温度≥50℃，最低运行环境温度≤-5℃，从室温环境进入-20℃环境后，工作时间≥60分钟；最高工作湿度≥95%（非冷凝），最低工作湿度≤5%（非冷凝）；</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设备支持清洁和消毒，防止交叉感染。支持常见类型清洁消毒剂：次氯酸钠（10%洗涤用漂白粉）、双氧水（3%）、乙醇（75%）、异丙醇（70%）、活性氧消毒灭菌剂（C/D级）。（提供使用说明书证明材料扫描件，原件备查）。</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主机使用时间≥10年（提供设备机身标贴实物图证明）。</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AED标配专用存储机柜：室内安装提供壁挂式机柜，室外安装提供立柜式机柜（具备防雨防晒功能）。机柜上应印有AED电子地图二维码，扫码即可快速查找和定位AED，电子地图应具备上传AED、地址纠错、呼叫急救志愿者等功能。</w:t>
      </w:r>
    </w:p>
    <w:p>
      <w:pPr>
        <w:numPr>
          <w:ilvl w:val="0"/>
          <w:numId w:val="10"/>
        </w:numPr>
        <w:ind w:left="425" w:leftChars="0" w:hanging="425" w:firstLineChars="0"/>
        <w:jc w:val="left"/>
        <w:rPr>
          <w:rFonts w:hint="eastAsia"/>
          <w:b/>
          <w:bCs/>
          <w:lang w:val="en-US" w:eastAsia="zh-CN"/>
        </w:rPr>
      </w:pPr>
      <w:r>
        <w:rPr>
          <w:rFonts w:hint="eastAsia"/>
          <w:b/>
          <w:bCs/>
          <w:lang w:val="en-US" w:eastAsia="zh-CN"/>
        </w:rPr>
        <w:t>AED训练机</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具备与AED设备同品牌的训练机，训练机外观和操作步骤与AED设备一致。</w:t>
      </w:r>
    </w:p>
    <w:p>
      <w:pPr>
        <w:numPr>
          <w:ilvl w:val="0"/>
          <w:numId w:val="10"/>
        </w:numPr>
        <w:ind w:left="425" w:leftChars="0" w:hanging="425" w:firstLineChars="0"/>
        <w:jc w:val="left"/>
        <w:rPr>
          <w:rFonts w:hint="eastAsia"/>
          <w:b/>
          <w:bCs/>
          <w:lang w:val="en-US" w:eastAsia="zh-CN"/>
        </w:rPr>
      </w:pPr>
      <w:r>
        <w:rPr>
          <w:rFonts w:hint="eastAsia"/>
          <w:b/>
          <w:bCs/>
          <w:lang w:val="en-US" w:eastAsia="zh-CN"/>
        </w:rPr>
        <w:t>AED智能管理系统</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系统功能：支持对所安装的AED信息维护、性能状况适时监控等功能，包括AED设备信息维护、AED监控（自检、定位、报警、预警、电子围栏）、维护日志、权限管理、急救人员管理、急救实时反馈等功能。提供地图显示模式，能将上述信息在AED地图上显示状态。</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急救实践实时反馈功能：AED一旦开机用于抢救病人时即刻反馈，并在AED地图上显示正在急救状态，同时系统会自动通过电话、短信和邮件的方式即刻通知AED所关联的管理者或急救员；</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位置管理功能：当AED偏离实际安装地点，系统可自动通知管理员，并显示AED所在位置。</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自检反馈功能：系统根据AED自检结果（正常/故障），显示设备不同状态，故障时发出信息到设备管理者；</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投标人免费开放设备远程管理系统数据端口，供采购人通过远程管理系统实时查询所有设备在线状态、详情信息、历史记录，并具备汇总、统计功能（含地图、数据及趋势图）。</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向采购人提供独立的授权管理账号（PC端），开放管理权限，支持采购人随时随地自行监管查看，通过分级授权和权限管理实现统一在线管理。</w:t>
      </w:r>
    </w:p>
    <w:p>
      <w:pPr>
        <w:numPr>
          <w:ilvl w:val="1"/>
          <w:numId w:val="10"/>
        </w:numPr>
        <w:ind w:left="850" w:leftChars="0" w:hanging="453" w:firstLineChars="0"/>
        <w:jc w:val="left"/>
        <w:rPr>
          <w:rFonts w:hint="eastAsia"/>
          <w:b w:val="0"/>
          <w:bCs w:val="0"/>
          <w:lang w:val="en-US" w:eastAsia="zh-CN"/>
        </w:rPr>
      </w:pPr>
      <w:r>
        <w:rPr>
          <w:rFonts w:hint="eastAsia"/>
          <w:b w:val="0"/>
          <w:bCs w:val="0"/>
          <w:lang w:val="en-US" w:eastAsia="zh-CN"/>
        </w:rPr>
        <w:t>AED智能管理系统符合物联网系统信息安全要求（须提供信息系统安全等级保护备案证明、信息安全等级保护评测结果通知书）。</w:t>
      </w:r>
    </w:p>
    <w:p>
      <w:pPr>
        <w:widowControl w:val="0"/>
        <w:numPr>
          <w:ilvl w:val="0"/>
          <w:numId w:val="0"/>
        </w:numPr>
        <w:jc w:val="left"/>
        <w:rPr>
          <w:rFonts w:hint="eastAsia"/>
          <w:b w:val="0"/>
          <w:bCs w:val="0"/>
          <w:lang w:val="en-US" w:eastAsia="zh-CN"/>
        </w:rPr>
      </w:pPr>
    </w:p>
    <w:p>
      <w:pPr>
        <w:numPr>
          <w:ilvl w:val="0"/>
          <w:numId w:val="0"/>
        </w:numPr>
        <w:ind w:leftChars="0"/>
        <w:jc w:val="left"/>
        <w:rPr>
          <w:rFonts w:hint="eastAsia" w:ascii="宋体" w:hAnsi="宋体" w:eastAsia="宋体" w:cs="宋体"/>
          <w:b/>
          <w:bCs/>
          <w:lang w:val="en-US" w:eastAsia="zh-CN"/>
        </w:rPr>
      </w:pPr>
      <w:r>
        <w:rPr>
          <w:rFonts w:hint="eastAsia" w:ascii="宋体" w:hAnsi="宋体" w:eastAsia="宋体" w:cs="宋体"/>
          <w:b/>
          <w:bCs/>
          <w:lang w:val="en-US" w:eastAsia="zh-CN"/>
        </w:rPr>
        <w:t>二、配置清单</w:t>
      </w:r>
    </w:p>
    <w:p>
      <w:pPr>
        <w:numPr>
          <w:ilvl w:val="1"/>
          <w:numId w:val="11"/>
        </w:numPr>
        <w:ind w:left="0" w:leftChars="0" w:firstLine="420" w:firstLineChars="0"/>
        <w:jc w:val="left"/>
        <w:rPr>
          <w:rFonts w:hint="eastAsia" w:ascii="宋体" w:hAnsi="宋体" w:eastAsia="宋体" w:cs="宋体"/>
          <w:lang w:val="en-US" w:eastAsia="zh-CN"/>
        </w:rPr>
      </w:pPr>
      <w:r>
        <w:rPr>
          <w:rFonts w:hint="eastAsia" w:ascii="宋体" w:hAnsi="宋体" w:eastAsia="宋体" w:cs="宋体"/>
          <w:lang w:val="en-US" w:eastAsia="zh-CN"/>
        </w:rPr>
        <w:t>半自动体外除颤器（AED），共</w:t>
      </w:r>
      <w:r>
        <w:rPr>
          <w:rFonts w:hint="eastAsia" w:ascii="宋体" w:hAnsi="宋体" w:cs="宋体"/>
          <w:lang w:val="en-US" w:eastAsia="zh-CN"/>
        </w:rPr>
        <w:t>20</w:t>
      </w:r>
      <w:r>
        <w:rPr>
          <w:rFonts w:hint="eastAsia" w:ascii="宋体" w:hAnsi="宋体" w:eastAsia="宋体" w:cs="宋体"/>
          <w:lang w:val="en-US" w:eastAsia="zh-CN"/>
        </w:rPr>
        <w:t>台，每台配置包含以下：</w:t>
      </w:r>
    </w:p>
    <w:p>
      <w:pPr>
        <w:numPr>
          <w:ilvl w:val="0"/>
          <w:numId w:val="0"/>
        </w:numPr>
        <w:ind w:left="840" w:leftChars="400" w:firstLine="0" w:firstLineChars="0"/>
        <w:jc w:val="left"/>
        <w:rPr>
          <w:rFonts w:hint="eastAsia" w:ascii="宋体" w:hAnsi="宋体" w:eastAsia="宋体" w:cs="宋体"/>
          <w:lang w:val="en-US" w:eastAsia="zh-CN"/>
        </w:rPr>
      </w:pPr>
      <w:r>
        <w:rPr>
          <w:rFonts w:hint="eastAsia" w:ascii="宋体" w:hAnsi="宋体" w:eastAsia="宋体" w:cs="宋体"/>
          <w:lang w:val="en-US" w:eastAsia="zh-CN"/>
        </w:rPr>
        <w:t>AED主机1台；</w:t>
      </w:r>
    </w:p>
    <w:p>
      <w:pPr>
        <w:numPr>
          <w:ilvl w:val="0"/>
          <w:numId w:val="0"/>
        </w:numPr>
        <w:ind w:left="840" w:leftChars="400" w:firstLine="0" w:firstLineChars="0"/>
        <w:jc w:val="left"/>
        <w:rPr>
          <w:rFonts w:hint="eastAsia" w:ascii="宋体" w:hAnsi="宋体" w:eastAsia="宋体" w:cs="宋体"/>
          <w:lang w:val="en-US" w:eastAsia="zh-CN"/>
        </w:rPr>
      </w:pPr>
      <w:r>
        <w:rPr>
          <w:rFonts w:hint="eastAsia" w:ascii="宋体" w:hAnsi="宋体" w:eastAsia="宋体" w:cs="宋体"/>
          <w:lang w:val="en-US" w:eastAsia="zh-CN"/>
        </w:rPr>
        <w:t>AED包1个；</w:t>
      </w:r>
    </w:p>
    <w:p>
      <w:pPr>
        <w:numPr>
          <w:ilvl w:val="0"/>
          <w:numId w:val="0"/>
        </w:numPr>
        <w:ind w:left="840" w:leftChars="400" w:firstLine="0" w:firstLineChars="0"/>
        <w:jc w:val="left"/>
        <w:rPr>
          <w:rFonts w:hint="eastAsia" w:ascii="宋体" w:hAnsi="宋体" w:eastAsia="宋体" w:cs="宋体"/>
          <w:lang w:val="en-US" w:eastAsia="zh-CN"/>
        </w:rPr>
      </w:pPr>
      <w:r>
        <w:rPr>
          <w:rFonts w:hint="eastAsia" w:ascii="宋体" w:hAnsi="宋体" w:eastAsia="宋体" w:cs="宋体"/>
          <w:lang w:val="en-US" w:eastAsia="zh-CN"/>
        </w:rPr>
        <w:t>一次性电极1套；</w:t>
      </w:r>
    </w:p>
    <w:p>
      <w:pPr>
        <w:numPr>
          <w:ilvl w:val="0"/>
          <w:numId w:val="0"/>
        </w:numPr>
        <w:ind w:left="840" w:leftChars="400" w:firstLine="0" w:firstLineChars="0"/>
        <w:jc w:val="left"/>
        <w:rPr>
          <w:rFonts w:hint="eastAsia" w:ascii="宋体" w:hAnsi="宋体" w:eastAsia="宋体" w:cs="宋体"/>
          <w:lang w:val="en-US" w:eastAsia="zh-CN"/>
        </w:rPr>
      </w:pPr>
      <w:r>
        <w:rPr>
          <w:rFonts w:hint="eastAsia" w:ascii="宋体" w:hAnsi="宋体" w:eastAsia="宋体" w:cs="宋体"/>
          <w:lang w:val="en-US" w:eastAsia="zh-CN"/>
        </w:rPr>
        <w:t>一次性长效电池1个；</w:t>
      </w:r>
    </w:p>
    <w:p>
      <w:pPr>
        <w:numPr>
          <w:ilvl w:val="0"/>
          <w:numId w:val="0"/>
        </w:numPr>
        <w:ind w:left="840" w:leftChars="400" w:firstLine="0" w:firstLineChars="0"/>
        <w:jc w:val="left"/>
        <w:rPr>
          <w:rFonts w:hint="eastAsia" w:ascii="宋体" w:hAnsi="宋体" w:eastAsia="宋体" w:cs="宋体"/>
          <w:lang w:val="en-US" w:eastAsia="zh-CN"/>
        </w:rPr>
      </w:pPr>
      <w:r>
        <w:rPr>
          <w:rFonts w:hint="eastAsia" w:ascii="宋体" w:hAnsi="宋体" w:eastAsia="宋体" w:cs="宋体"/>
          <w:lang w:val="en-US" w:eastAsia="zh-CN"/>
        </w:rPr>
        <w:t>AED存储机柜1个；</w:t>
      </w:r>
    </w:p>
    <w:p>
      <w:pPr>
        <w:numPr>
          <w:ilvl w:val="0"/>
          <w:numId w:val="0"/>
        </w:numPr>
        <w:ind w:leftChars="0"/>
        <w:jc w:val="left"/>
        <w:rPr>
          <w:rFonts w:hint="eastAsia" w:ascii="宋体" w:hAnsi="宋体" w:eastAsia="宋体" w:cs="宋体"/>
          <w:b/>
          <w:bCs/>
          <w:lang w:val="en-US" w:eastAsia="zh-CN"/>
        </w:rPr>
      </w:pPr>
    </w:p>
    <w:p>
      <w:pPr>
        <w:numPr>
          <w:ilvl w:val="0"/>
          <w:numId w:val="0"/>
        </w:numPr>
        <w:ind w:leftChars="0"/>
        <w:jc w:val="left"/>
        <w:rPr>
          <w:rFonts w:hint="eastAsia" w:ascii="宋体" w:hAnsi="宋体" w:eastAsia="宋体" w:cs="宋体"/>
          <w:b/>
          <w:bCs/>
          <w:lang w:val="en-US" w:eastAsia="zh-CN"/>
        </w:rPr>
      </w:pPr>
      <w:r>
        <w:rPr>
          <w:rFonts w:hint="eastAsia" w:ascii="宋体" w:hAnsi="宋体" w:eastAsia="宋体" w:cs="宋体"/>
          <w:b/>
          <w:bCs/>
          <w:lang w:val="en-US" w:eastAsia="zh-CN"/>
        </w:rPr>
        <w:t>三、售后</w:t>
      </w:r>
    </w:p>
    <w:p>
      <w:pPr>
        <w:numPr>
          <w:ilvl w:val="0"/>
          <w:numId w:val="0"/>
        </w:numPr>
        <w:ind w:leftChars="0"/>
        <w:jc w:val="left"/>
        <w:rPr>
          <w:rFonts w:hint="default" w:ascii="宋体" w:hAnsi="宋体" w:eastAsia="宋体" w:cs="宋体"/>
          <w:lang w:val="en-US" w:eastAsia="zh-CN"/>
        </w:rPr>
      </w:pPr>
      <w:r>
        <w:rPr>
          <w:rFonts w:hint="eastAsia" w:ascii="宋体" w:hAnsi="宋体" w:eastAsia="宋体" w:cs="宋体"/>
          <w:lang w:val="en-US" w:eastAsia="zh-CN"/>
        </w:rPr>
        <w:t>除电极片、电池以外，整机保修</w:t>
      </w:r>
      <w:r>
        <w:rPr>
          <w:rFonts w:hint="default" w:ascii="宋体" w:hAnsi="宋体" w:eastAsia="宋体" w:cs="宋体"/>
          <w:lang w:val="en-US" w:eastAsia="zh-CN"/>
        </w:rPr>
        <w:t>5</w:t>
      </w:r>
      <w:r>
        <w:rPr>
          <w:rFonts w:hint="eastAsia" w:ascii="宋体" w:hAnsi="宋体" w:eastAsia="宋体" w:cs="宋体"/>
          <w:lang w:val="en-US" w:eastAsia="zh-CN"/>
        </w:rPr>
        <w:t>年</w:t>
      </w:r>
    </w:p>
    <w:p>
      <w:pPr>
        <w:numPr>
          <w:ilvl w:val="0"/>
          <w:numId w:val="0"/>
        </w:numPr>
        <w:ind w:leftChars="0"/>
        <w:jc w:val="left"/>
        <w:rPr>
          <w:rFonts w:hint="eastAsia" w:ascii="宋体" w:hAnsi="宋体" w:eastAsia="宋体" w:cs="宋体"/>
          <w:lang w:val="en-US" w:eastAsia="zh-CN"/>
        </w:rPr>
      </w:pPr>
      <w:r>
        <w:rPr>
          <w:rFonts w:hint="eastAsia" w:ascii="宋体" w:hAnsi="宋体" w:eastAsia="宋体" w:cs="宋体"/>
          <w:lang w:val="en-US" w:eastAsia="zh-CN"/>
        </w:rPr>
        <w:t>电极片按承诺有效期，从激活时间起算。</w:t>
      </w:r>
    </w:p>
    <w:p>
      <w:pPr>
        <w:numPr>
          <w:ilvl w:val="0"/>
          <w:numId w:val="0"/>
        </w:numPr>
        <w:ind w:leftChars="0"/>
        <w:jc w:val="left"/>
        <w:rPr>
          <w:rFonts w:hint="eastAsia" w:ascii="宋体" w:hAnsi="宋体" w:eastAsia="宋体" w:cs="宋体"/>
          <w:lang w:val="en-US" w:eastAsia="zh-CN"/>
        </w:rPr>
      </w:pPr>
      <w:r>
        <w:rPr>
          <w:rFonts w:hint="eastAsia" w:ascii="宋体" w:hAnsi="宋体" w:eastAsia="宋体" w:cs="宋体"/>
          <w:lang w:val="en-US" w:eastAsia="zh-CN"/>
        </w:rPr>
        <w:t>电池按承诺效期，从激活时间起算。</w:t>
      </w:r>
    </w:p>
    <w:p>
      <w:pPr>
        <w:numPr>
          <w:ilvl w:val="0"/>
          <w:numId w:val="0"/>
        </w:numPr>
        <w:ind w:leftChars="0"/>
        <w:jc w:val="left"/>
        <w:rPr>
          <w:rFonts w:hint="eastAsia" w:ascii="宋体" w:hAnsi="宋体" w:eastAsia="宋体" w:cs="宋体"/>
          <w:lang w:val="en-US" w:eastAsia="zh-CN"/>
        </w:rPr>
      </w:pPr>
    </w:p>
    <w:p>
      <w:pPr>
        <w:numPr>
          <w:ilvl w:val="0"/>
          <w:numId w:val="12"/>
        </w:numPr>
        <w:ind w:leftChars="0"/>
        <w:jc w:val="left"/>
        <w:rPr>
          <w:rFonts w:hint="eastAsia" w:ascii="宋体" w:hAnsi="宋体" w:eastAsia="宋体" w:cs="宋体"/>
          <w:b/>
          <w:bCs/>
          <w:lang w:val="en-US" w:eastAsia="zh-CN"/>
        </w:rPr>
      </w:pPr>
      <w:r>
        <w:rPr>
          <w:rFonts w:hint="eastAsia" w:ascii="宋体" w:hAnsi="宋体" w:eastAsia="宋体" w:cs="宋体"/>
          <w:b/>
          <w:bCs/>
          <w:lang w:val="en-US" w:eastAsia="zh-CN"/>
        </w:rPr>
        <w:t>商务要求</w:t>
      </w:r>
    </w:p>
    <w:p>
      <w:pPr>
        <w:numPr>
          <w:ilvl w:val="0"/>
          <w:numId w:val="0"/>
        </w:numPr>
        <w:jc w:val="left"/>
        <w:rPr>
          <w:rFonts w:hint="default" w:ascii="宋体" w:hAnsi="宋体" w:eastAsia="宋体" w:cs="宋体"/>
          <w:lang w:val="en-US" w:eastAsia="zh-CN"/>
        </w:rPr>
      </w:pPr>
      <w:r>
        <w:rPr>
          <w:rFonts w:hint="eastAsia" w:ascii="宋体" w:hAnsi="宋体" w:eastAsia="宋体" w:cs="宋体"/>
          <w:lang w:val="en-US" w:eastAsia="zh-CN"/>
        </w:rPr>
        <w:t>提供AED配套耗材、损耗性配件的报价：一次性电极片价格不超过1500元，一次性电池价格不超过3000元。</w:t>
      </w:r>
    </w:p>
    <w:p>
      <w:pPr>
        <w:jc w:val="cente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t>评分标准</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采用合理最低价</w:t>
      </w:r>
      <w:r>
        <w:rPr>
          <w:rFonts w:hint="eastAsia" w:ascii="宋体" w:hAnsi="宋体" w:cs="宋体"/>
          <w:color w:val="000000"/>
          <w:sz w:val="24"/>
          <w:szCs w:val="24"/>
          <w:highlight w:val="none"/>
          <w:lang w:val="en-US" w:eastAsia="zh-CN"/>
        </w:rPr>
        <w:t>评</w:t>
      </w:r>
      <w:r>
        <w:rPr>
          <w:rFonts w:hint="eastAsia" w:ascii="宋体" w:hAnsi="宋体" w:eastAsia="宋体" w:cs="宋体"/>
          <w:color w:val="000000"/>
          <w:sz w:val="24"/>
          <w:szCs w:val="24"/>
          <w:highlight w:val="none"/>
          <w:lang w:val="en-US" w:eastAsia="zh-CN"/>
        </w:rPr>
        <w:t>标法</w:t>
      </w:r>
    </w:p>
    <w:p>
      <w:pPr>
        <w:rPr>
          <w:rFonts w:hint="eastAsia" w:ascii="Calibri" w:hAnsi="Calibri" w:cs="Times New Roman"/>
          <w:b/>
          <w:bCs/>
          <w:kern w:val="44"/>
          <w:sz w:val="44"/>
          <w:szCs w:val="44"/>
          <w:highlight w:val="none"/>
          <w:lang w:val="en-US" w:eastAsia="zh-CN"/>
        </w:rPr>
      </w:pPr>
      <w:r>
        <w:rPr>
          <w:rFonts w:hint="eastAsia" w:ascii="宋体" w:hAnsi="宋体" w:eastAsia="宋体" w:cs="宋体"/>
          <w:color w:val="000000"/>
          <w:sz w:val="24"/>
          <w:szCs w:val="24"/>
          <w:highlight w:val="none"/>
          <w:lang w:val="en-US" w:eastAsia="zh-CN"/>
        </w:rPr>
        <w:t>由招标人组成的评标委员会负责，进行商务谈判，本着公平、公正、公开、有序的原则，在最大限度地满足招标文件实质性要求的前提下，磋商项目价格，满足要求后，选择合理最低价确定中标人，对未中标单位不做任何解释。</w:t>
      </w:r>
      <w:r>
        <w:rPr>
          <w:rFonts w:hint="eastAsia" w:ascii="Calibri" w:hAnsi="Calibri" w:cs="Times New Roman"/>
          <w:b/>
          <w:bCs/>
          <w:kern w:val="44"/>
          <w:sz w:val="44"/>
          <w:szCs w:val="44"/>
          <w:highlight w:val="none"/>
          <w:lang w:val="en-US" w:eastAsia="zh-CN"/>
        </w:rPr>
        <w:br w:type="page"/>
      </w:r>
    </w:p>
    <w:p>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pPr>
        <w:keepNext/>
        <w:keepLines/>
        <w:rPr>
          <w:rFonts w:ascii="Times New Roman" w:hAnsi="Times New Roman" w:eastAsia="宋体" w:cs="Times New Roman"/>
          <w:b/>
          <w:bCs/>
          <w:color w:val="000000"/>
          <w:sz w:val="24"/>
          <w:szCs w:val="24"/>
          <w:highlight w:val="none"/>
        </w:rPr>
      </w:pPr>
    </w:p>
    <w:p>
      <w:pPr>
        <w:pStyle w:val="24"/>
        <w:rPr>
          <w:rFonts w:ascii="Times New Roman" w:hAnsi="Times New Roman" w:eastAsia="宋体" w:cs="Times New Roman"/>
          <w:b/>
          <w:bCs/>
          <w:color w:val="000000"/>
          <w:sz w:val="24"/>
          <w:szCs w:val="24"/>
          <w:highlight w:val="none"/>
        </w:rPr>
      </w:pP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keepNext/>
        <w:keepLines/>
        <w:outlineLvl w:val="2"/>
        <w:rPr>
          <w:rFonts w:hint="eastAsia" w:asciiTheme="minorEastAsia" w:hAnsiTheme="minorEastAsia" w:eastAsiaTheme="minorEastAsia" w:cstheme="minorEastAsia"/>
          <w:b/>
          <w:sz w:val="24"/>
          <w:szCs w:val="24"/>
        </w:rPr>
      </w:pPr>
    </w:p>
    <w:p>
      <w:pPr>
        <w:spacing w:line="360" w:lineRule="auto"/>
        <w:rPr>
          <w:rFonts w:hint="eastAsia" w:ascii="仿宋" w:hAnsi="仿宋" w:eastAsia="仿宋"/>
          <w:b/>
          <w:bCs/>
          <w:sz w:val="28"/>
        </w:rPr>
      </w:pPr>
    </w:p>
    <w:p>
      <w:pPr>
        <w:rPr>
          <w:rFonts w:hint="eastAsia" w:ascii="仿宋" w:hAnsi="仿宋" w:eastAsia="仿宋"/>
          <w:b/>
          <w:bCs/>
          <w:sz w:val="28"/>
        </w:rPr>
      </w:pPr>
      <w:r>
        <w:rPr>
          <w:rFonts w:hint="eastAsia" w:ascii="仿宋" w:hAnsi="仿宋" w:eastAsia="仿宋"/>
          <w:b/>
          <w:bCs/>
          <w:sz w:val="28"/>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5" w:name="_Toc353881012"/>
      <w:bookmarkStart w:id="16" w:name="_Toc212369550"/>
      <w:bookmarkStart w:id="17" w:name="_Toc25811"/>
      <w:bookmarkStart w:id="18"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cs="Times New Roman"/>
          <w:color w:val="000000"/>
          <w:sz w:val="24"/>
          <w:szCs w:val="24"/>
          <w:lang w:eastAsia="zh-CN"/>
        </w:rPr>
        <w:t>中国重汽集团</w:t>
      </w:r>
      <w:r>
        <w:rPr>
          <w:rFonts w:hint="eastAsia" w:ascii="宋体" w:hAnsi="宋体" w:cs="Times New Roman"/>
          <w:color w:val="000000"/>
          <w:sz w:val="24"/>
          <w:szCs w:val="24"/>
          <w:lang w:val="en-US" w:eastAsia="zh-CN"/>
        </w:rPr>
        <w:t>济南动力有限公司</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cs="宋体"/>
          <w:b/>
          <w:bCs/>
          <w:sz w:val="24"/>
          <w:szCs w:val="24"/>
          <w:highlight w:val="none"/>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hint="eastAsia" w:ascii="宋体" w:hAnsi="宋体" w:cs="Times New Roman"/>
          <w:bCs/>
          <w:snapToGrid w:val="0"/>
          <w:color w:val="000000"/>
          <w:kern w:val="0"/>
          <w:sz w:val="24"/>
          <w:szCs w:val="24"/>
          <w:u w:val="single"/>
          <w:lang w:val="en-US" w:eastAsia="zh-CN"/>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pStyle w:val="24"/>
        <w:rPr>
          <w:rFonts w:ascii="黑体" w:hAnsi="Calibri" w:eastAsia="黑体" w:cs="Times New Roman"/>
          <w:color w:val="000000"/>
          <w:sz w:val="24"/>
          <w:szCs w:val="24"/>
        </w:rPr>
      </w:pPr>
    </w:p>
    <w:p>
      <w:pPr>
        <w:pStyle w:val="24"/>
        <w:rPr>
          <w:rFonts w:ascii="黑体" w:hAnsi="Calibri" w:eastAsia="黑体" w:cs="Times New Roman"/>
          <w:color w:val="000000"/>
          <w:sz w:val="24"/>
          <w:szCs w:val="24"/>
        </w:rPr>
      </w:pPr>
    </w:p>
    <w:p>
      <w:pPr>
        <w:pStyle w:val="24"/>
        <w:rPr>
          <w:rFonts w:ascii="黑体" w:hAnsi="Calibri" w:eastAsia="黑体" w:cs="Times New Roman"/>
          <w:color w:val="000000"/>
          <w:sz w:val="24"/>
          <w:szCs w:val="24"/>
        </w:rPr>
      </w:pPr>
    </w:p>
    <w:p>
      <w:pPr>
        <w:pStyle w:val="24"/>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cs="宋体"/>
          <w:b/>
          <w:bCs/>
          <w:sz w:val="24"/>
          <w:szCs w:val="24"/>
          <w:highlight w:val="none"/>
          <w:u w:val="single"/>
          <w:lang w:val="en-US" w:eastAsia="zh-CN"/>
        </w:rPr>
        <w:t>2026年职业病危害作业点检测、评价项目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4"/>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231"/>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rPr>
            </w:pPr>
          </w:p>
        </w:tc>
        <w:tc>
          <w:tcPr>
            <w:tcW w:w="1310" w:type="dxa"/>
          </w:tcPr>
          <w:p>
            <w:pPr>
              <w:pStyle w:val="231"/>
              <w:spacing w:before="106"/>
              <w:ind w:left="154" w:right="26"/>
              <w:jc w:val="center"/>
              <w:rPr>
                <w:color w:val="000000"/>
              </w:rPr>
            </w:pPr>
            <w:r>
              <w:rPr>
                <w:color w:val="000000"/>
              </w:rPr>
              <w:t xml:space="preserve">联系人 </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231"/>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rPr>
            </w:pPr>
          </w:p>
        </w:tc>
        <w:tc>
          <w:tcPr>
            <w:tcW w:w="1310" w:type="dxa"/>
          </w:tcPr>
          <w:p>
            <w:pPr>
              <w:pStyle w:val="231"/>
              <w:spacing w:before="106"/>
              <w:ind w:left="154" w:right="26"/>
              <w:jc w:val="center"/>
              <w:rPr>
                <w:color w:val="000000"/>
              </w:rPr>
            </w:pPr>
            <w:r>
              <w:rPr>
                <w:color w:val="000000"/>
              </w:rPr>
              <w:t xml:space="preserve">联系人电话 </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231"/>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rPr>
            </w:pPr>
          </w:p>
        </w:tc>
        <w:tc>
          <w:tcPr>
            <w:tcW w:w="1310" w:type="dxa"/>
          </w:tcPr>
          <w:p>
            <w:pPr>
              <w:pStyle w:val="231"/>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231"/>
              <w:spacing w:before="111"/>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pPr>
              <w:pStyle w:val="231"/>
              <w:spacing w:before="103"/>
              <w:ind w:right="26"/>
              <w:jc w:val="center"/>
              <w:rPr>
                <w:color w:val="000000"/>
              </w:rPr>
            </w:pPr>
            <w:r>
              <w:rPr>
                <w:color w:val="000000"/>
              </w:rPr>
              <w:t>企业资质</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1"/>
              <w:spacing w:before="114"/>
              <w:ind w:left="720"/>
            </w:pPr>
            <w:r>
              <w:t xml:space="preserve">品牌区分 </w:t>
            </w:r>
          </w:p>
        </w:tc>
        <w:tc>
          <w:tcPr>
            <w:tcW w:w="7500" w:type="dxa"/>
            <w:gridSpan w:val="6"/>
          </w:tcPr>
          <w:p>
            <w:pPr>
              <w:pStyle w:val="2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1"/>
              <w:spacing w:before="178"/>
              <w:ind w:left="720"/>
            </w:pPr>
            <w:r>
              <w:t xml:space="preserve">品牌名称 </w:t>
            </w:r>
          </w:p>
        </w:tc>
        <w:tc>
          <w:tcPr>
            <w:tcW w:w="3583" w:type="dxa"/>
            <w:gridSpan w:val="3"/>
            <w:vAlign w:val="center"/>
          </w:tcPr>
          <w:p>
            <w:pPr>
              <w:widowControl/>
              <w:rPr>
                <w:rFonts w:ascii="宋体" w:hAnsi="宋体" w:eastAsia="仿宋_GB2312"/>
                <w:kern w:val="0"/>
                <w:szCs w:val="21"/>
              </w:rPr>
            </w:pPr>
          </w:p>
        </w:tc>
        <w:tc>
          <w:tcPr>
            <w:tcW w:w="1097" w:type="dxa"/>
          </w:tcPr>
          <w:p>
            <w:pPr>
              <w:pStyle w:val="231"/>
              <w:spacing w:before="15"/>
              <w:ind w:left="279"/>
            </w:pPr>
            <w:r>
              <w:rPr>
                <w:spacing w:val="-2"/>
              </w:rPr>
              <w:t>质量</w:t>
            </w:r>
            <w:r>
              <w:t xml:space="preserve"> </w:t>
            </w:r>
          </w:p>
          <w:p>
            <w:pPr>
              <w:pStyle w:val="231"/>
              <w:spacing w:before="30" w:line="277" w:lineRule="exact"/>
              <w:ind w:left="279"/>
            </w:pPr>
            <w:r>
              <w:rPr>
                <w:rFonts w:hint="eastAsia"/>
              </w:rPr>
              <w:t>体系</w:t>
            </w:r>
          </w:p>
        </w:tc>
        <w:tc>
          <w:tcPr>
            <w:tcW w:w="2820" w:type="dxa"/>
            <w:gridSpan w:val="2"/>
          </w:tcPr>
          <w:p>
            <w:pPr>
              <w:pStyle w:val="231"/>
              <w:spacing w:before="158"/>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231"/>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rPr>
            </w:pPr>
          </w:p>
        </w:tc>
      </w:tr>
    </w:tbl>
    <w:p>
      <w:pPr>
        <w:pStyle w:val="24"/>
        <w:rPr>
          <w:rFonts w:ascii="Times New Roman" w:hAnsi="Times New Roman" w:eastAsia="宋体" w:cs="Times New Roman"/>
          <w:b/>
          <w:bCs/>
          <w:color w:val="000000"/>
          <w:sz w:val="24"/>
          <w:szCs w:val="24"/>
        </w:rPr>
      </w:pPr>
    </w:p>
    <w:p>
      <w:pPr>
        <w:pStyle w:val="24"/>
        <w:rPr>
          <w:rFonts w:ascii="Times New Roman" w:hAnsi="Times New Roman" w:eastAsia="宋体" w:cs="Times New Roman"/>
          <w:b/>
          <w:bCs/>
          <w:color w:val="000000"/>
          <w:sz w:val="24"/>
          <w:szCs w:val="24"/>
        </w:rPr>
      </w:pPr>
    </w:p>
    <w:p>
      <w:pPr>
        <w:pStyle w:val="24"/>
        <w:rPr>
          <w:rFonts w:ascii="Times New Roman" w:hAnsi="Times New Roman" w:eastAsia="宋体" w:cs="Times New Roman"/>
          <w:b/>
          <w:bCs/>
          <w:color w:val="000000"/>
          <w:sz w:val="24"/>
          <w:szCs w:val="24"/>
        </w:rPr>
      </w:pPr>
    </w:p>
    <w:p>
      <w:pPr>
        <w:pStyle w:val="24"/>
        <w:rPr>
          <w:rFonts w:ascii="Times New Roman" w:hAnsi="Times New Roman" w:eastAsia="宋体" w:cs="Times New Roman"/>
          <w:b/>
          <w:bCs/>
          <w:color w:val="000000"/>
          <w:sz w:val="24"/>
          <w:szCs w:val="24"/>
        </w:rPr>
      </w:pPr>
    </w:p>
    <w:p>
      <w:pPr>
        <w:pStyle w:val="24"/>
        <w:rPr>
          <w:rFonts w:ascii="Times New Roman" w:hAnsi="Times New Roman" w:eastAsia="宋体" w:cs="Times New Roman"/>
          <w:b/>
          <w:bCs/>
          <w:color w:val="000000"/>
          <w:sz w:val="24"/>
          <w:szCs w:val="24"/>
        </w:rPr>
      </w:pPr>
    </w:p>
    <w:p>
      <w:pPr>
        <w:pStyle w:val="24"/>
        <w:rPr>
          <w:rFonts w:ascii="Times New Roman" w:hAnsi="Times New Roman" w:eastAsia="宋体" w:cs="Times New Roman"/>
          <w:b/>
          <w:bCs/>
          <w:color w:val="000000"/>
          <w:sz w:val="24"/>
          <w:szCs w:val="24"/>
        </w:rPr>
      </w:pPr>
    </w:p>
    <w:p>
      <w:pPr>
        <w:pStyle w:val="24"/>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4"/>
        <w:outlineLvl w:val="3"/>
        <w:rPr>
          <w:rFonts w:hint="eastAsia" w:ascii="Times New Roman" w:hAnsi="Times New Roman" w:eastAsia="宋体" w:cs="Times New Roman"/>
          <w:b/>
          <w:bCs/>
          <w:color w:val="000000"/>
          <w:sz w:val="24"/>
          <w:szCs w:val="24"/>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color w:val="000000"/>
                <w:sz w:val="24"/>
                <w:szCs w:val="24"/>
                <w:highlight w:val="none"/>
                <w:lang w:val="en-US" w:eastAsia="zh-CN"/>
              </w:rPr>
              <w:t>4</w:t>
            </w:r>
            <w:r>
              <w:rPr>
                <w:rFonts w:hint="eastAsia" w:ascii="宋体" w:hAnsi="宋体" w:eastAsia="宋体"/>
                <w:color w:val="000000"/>
                <w:sz w:val="24"/>
                <w:szCs w:val="24"/>
                <w:highlight w:val="none"/>
              </w:rPr>
              <w:t>年</w:t>
            </w:r>
          </w:p>
        </w:tc>
        <w:tc>
          <w:tcPr>
            <w:tcW w:w="1288"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color w:val="000000"/>
                <w:sz w:val="24"/>
                <w:szCs w:val="24"/>
                <w:highlight w:val="none"/>
                <w:lang w:val="en-US" w:eastAsia="zh-CN"/>
              </w:rPr>
              <w:t>5</w:t>
            </w:r>
            <w:r>
              <w:rPr>
                <w:rFonts w:hint="eastAsia" w:ascii="宋体" w:hAnsi="宋体" w:eastAsia="宋体"/>
                <w:color w:val="000000"/>
                <w:sz w:val="24"/>
                <w:szCs w:val="24"/>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p>
    <w:p>
      <w:pPr>
        <w:pStyle w:val="2"/>
        <w:numPr>
          <w:ilvl w:val="0"/>
          <w:numId w:val="0"/>
        </w:numPr>
        <w:adjustRightInd w:val="0"/>
        <w:snapToGrid w:val="0"/>
        <w:spacing w:before="0" w:after="0" w:line="540" w:lineRule="exact"/>
        <w:jc w:val="center"/>
        <w:rPr>
          <w:rFonts w:hint="eastAsia" w:ascii="仿宋" w:hAnsi="仿宋" w:eastAsia="仿宋"/>
          <w:sz w:val="40"/>
        </w:rPr>
      </w:pPr>
      <w:r>
        <w:rPr>
          <w:rFonts w:hint="eastAsia" w:ascii="仿宋" w:hAnsi="仿宋" w:eastAsia="仿宋"/>
          <w:sz w:val="40"/>
          <w:lang w:val="en-US" w:eastAsia="zh-CN"/>
        </w:rPr>
        <w:t>商务</w:t>
      </w:r>
      <w:r>
        <w:rPr>
          <w:rFonts w:hint="eastAsia" w:ascii="仿宋" w:hAnsi="仿宋" w:eastAsia="仿宋"/>
          <w:sz w:val="40"/>
        </w:rPr>
        <w:t>要求</w:t>
      </w:r>
    </w:p>
    <w:p/>
    <w:p>
      <w:pPr>
        <w:adjustRightInd w:val="0"/>
        <w:snapToGrid w:val="0"/>
        <w:spacing w:line="540" w:lineRule="exact"/>
        <w:jc w:val="center"/>
        <w:rPr>
          <w:rFonts w:hint="eastAsia" w:ascii="仿宋" w:hAnsi="仿宋" w:eastAsia="仿宋"/>
          <w:b/>
          <w:sz w:val="40"/>
          <w:szCs w:val="44"/>
        </w:rPr>
      </w:pPr>
      <w:r>
        <w:rPr>
          <w:rFonts w:hint="eastAsia" w:ascii="仿宋" w:hAnsi="仿宋" w:eastAsia="仿宋"/>
          <w:b/>
          <w:sz w:val="40"/>
          <w:szCs w:val="44"/>
          <w:lang w:val="en-US" w:eastAsia="zh-CN"/>
        </w:rPr>
        <w:t>开标一览</w:t>
      </w:r>
      <w:r>
        <w:rPr>
          <w:rFonts w:hint="eastAsia" w:ascii="仿宋" w:hAnsi="仿宋" w:eastAsia="仿宋"/>
          <w:b/>
          <w:sz w:val="40"/>
          <w:szCs w:val="44"/>
        </w:rPr>
        <w:t>表</w:t>
      </w:r>
    </w:p>
    <w:p>
      <w:pPr>
        <w:adjustRightInd w:val="0"/>
        <w:snapToGrid w:val="0"/>
        <w:spacing w:line="540" w:lineRule="exact"/>
        <w:ind w:firstLine="480" w:firstLineChars="200"/>
        <w:jc w:val="left"/>
        <w:rPr>
          <w:rFonts w:hint="eastAsia" w:ascii="仿宋" w:hAnsi="仿宋" w:eastAsia="仿宋"/>
          <w:sz w:val="24"/>
          <w:szCs w:val="28"/>
        </w:rPr>
      </w:pPr>
      <w:r>
        <w:rPr>
          <w:rFonts w:hint="eastAsia" w:ascii="仿宋" w:hAnsi="仿宋" w:eastAsia="仿宋"/>
          <w:sz w:val="24"/>
          <w:szCs w:val="28"/>
        </w:rPr>
        <w:t>投标单位</w:t>
      </w:r>
      <w:r>
        <w:rPr>
          <w:rFonts w:ascii="仿宋" w:hAnsi="仿宋" w:eastAsia="仿宋"/>
          <w:sz w:val="24"/>
          <w:szCs w:val="28"/>
        </w:rPr>
        <w:t>(</w:t>
      </w:r>
      <w:r>
        <w:rPr>
          <w:rFonts w:hint="eastAsia" w:ascii="仿宋" w:hAnsi="仿宋" w:eastAsia="仿宋"/>
          <w:sz w:val="24"/>
          <w:szCs w:val="28"/>
        </w:rPr>
        <w:t>章</w:t>
      </w:r>
      <w:r>
        <w:rPr>
          <w:rFonts w:ascii="仿宋" w:hAnsi="仿宋" w:eastAsia="仿宋"/>
          <w:sz w:val="24"/>
          <w:szCs w:val="28"/>
        </w:rPr>
        <w:t>)</w:t>
      </w:r>
      <w:r>
        <w:rPr>
          <w:rFonts w:hint="eastAsia" w:ascii="仿宋" w:hAnsi="仿宋" w:eastAsia="仿宋"/>
          <w:sz w:val="24"/>
          <w:szCs w:val="28"/>
        </w:rPr>
        <w:t xml:space="preserve">：                                                     </w:t>
      </w:r>
    </w:p>
    <w:p>
      <w:pPr>
        <w:adjustRightInd w:val="0"/>
        <w:snapToGrid w:val="0"/>
        <w:spacing w:line="540" w:lineRule="exact"/>
        <w:ind w:firstLine="480" w:firstLineChars="200"/>
        <w:jc w:val="left"/>
        <w:rPr>
          <w:rFonts w:hint="eastAsia" w:ascii="仿宋" w:hAnsi="仿宋" w:eastAsia="仿宋"/>
          <w:b w:val="0"/>
          <w:bCs w:val="0"/>
          <w:sz w:val="24"/>
          <w:szCs w:val="28"/>
        </w:rPr>
      </w:pPr>
      <w:r>
        <w:rPr>
          <w:rFonts w:hint="eastAsia" w:ascii="仿宋" w:hAnsi="仿宋" w:eastAsia="仿宋"/>
          <w:sz w:val="24"/>
          <w:szCs w:val="28"/>
        </w:rPr>
        <w:t>项目名称</w:t>
      </w:r>
      <w:r>
        <w:rPr>
          <w:rFonts w:hint="eastAsia" w:ascii="仿宋" w:hAnsi="仿宋" w:eastAsia="仿宋"/>
          <w:b w:val="0"/>
          <w:bCs w:val="0"/>
          <w:sz w:val="24"/>
          <w:szCs w:val="28"/>
        </w:rPr>
        <w:t>：</w:t>
      </w:r>
      <w:r>
        <w:rPr>
          <w:rFonts w:hint="eastAsia" w:ascii="仿宋" w:hAnsi="仿宋" w:eastAsia="仿宋" w:cs="宋体"/>
          <w:b w:val="0"/>
          <w:bCs w:val="0"/>
          <w:color w:val="000000"/>
          <w:kern w:val="0"/>
          <w:sz w:val="22"/>
        </w:rPr>
        <w:t>济南制造单位（半）自动体外除颤仪（AED）统一采购及服务项目</w:t>
      </w:r>
    </w:p>
    <w:tbl>
      <w:tblPr>
        <w:tblStyle w:val="48"/>
        <w:tblW w:w="9357" w:type="dxa"/>
        <w:tblInd w:w="-318" w:type="dxa"/>
        <w:tblLayout w:type="fixed"/>
        <w:tblCellMar>
          <w:top w:w="0" w:type="dxa"/>
          <w:left w:w="108" w:type="dxa"/>
          <w:bottom w:w="0" w:type="dxa"/>
          <w:right w:w="108" w:type="dxa"/>
        </w:tblCellMar>
      </w:tblPr>
      <w:tblGrid>
        <w:gridCol w:w="739"/>
        <w:gridCol w:w="2005"/>
        <w:gridCol w:w="1593"/>
        <w:gridCol w:w="1058"/>
        <w:gridCol w:w="1276"/>
        <w:gridCol w:w="1386"/>
        <w:gridCol w:w="1300"/>
      </w:tblGrid>
      <w:tr>
        <w:tblPrEx>
          <w:tblCellMar>
            <w:top w:w="0" w:type="dxa"/>
            <w:left w:w="108" w:type="dxa"/>
            <w:bottom w:w="0" w:type="dxa"/>
            <w:right w:w="108" w:type="dxa"/>
          </w:tblCellMar>
        </w:tblPrEx>
        <w:trPr>
          <w:trHeight w:val="567" w:hRule="exact"/>
        </w:trPr>
        <w:tc>
          <w:tcPr>
            <w:tcW w:w="9357"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b/>
                <w:bCs/>
                <w:color w:val="000000"/>
                <w:kern w:val="0"/>
                <w:sz w:val="28"/>
                <w:szCs w:val="28"/>
              </w:rPr>
            </w:pPr>
            <w:r>
              <w:rPr>
                <w:rFonts w:hint="eastAsia" w:ascii="仿宋" w:hAnsi="仿宋" w:eastAsia="仿宋" w:cs="宋体"/>
                <w:b/>
                <w:bCs/>
                <w:color w:val="000000"/>
                <w:kern w:val="0"/>
                <w:sz w:val="28"/>
                <w:szCs w:val="28"/>
              </w:rPr>
              <w:t>投标报价明细表</w:t>
            </w:r>
          </w:p>
        </w:tc>
      </w:tr>
      <w:tr>
        <w:tblPrEx>
          <w:tblCellMar>
            <w:top w:w="0" w:type="dxa"/>
            <w:left w:w="108" w:type="dxa"/>
            <w:bottom w:w="0" w:type="dxa"/>
            <w:right w:w="108" w:type="dxa"/>
          </w:tblCellMar>
        </w:tblPrEx>
        <w:trPr>
          <w:trHeight w:val="284" w:hRule="atLeast"/>
        </w:trPr>
        <w:tc>
          <w:tcPr>
            <w:tcW w:w="9357"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ascii="仿宋" w:hAnsi="仿宋" w:eastAsia="仿宋" w:cs="宋体"/>
                <w:b/>
                <w:bCs/>
                <w:color w:val="000000"/>
                <w:kern w:val="0"/>
                <w:sz w:val="22"/>
              </w:rPr>
            </w:pPr>
            <w:r>
              <w:rPr>
                <w:rFonts w:hint="eastAsia" w:ascii="仿宋" w:hAnsi="仿宋" w:eastAsia="仿宋" w:cs="宋体"/>
                <w:b/>
                <w:bCs/>
                <w:color w:val="000000"/>
                <w:kern w:val="0"/>
                <w:sz w:val="22"/>
              </w:rPr>
              <w:t>项目名称：济南制造单位（半）自动体外除颤仪（AED）统一采购及服务项目</w:t>
            </w:r>
          </w:p>
        </w:tc>
      </w:tr>
      <w:tr>
        <w:tblPrEx>
          <w:tblCellMar>
            <w:top w:w="0" w:type="dxa"/>
            <w:left w:w="108" w:type="dxa"/>
            <w:bottom w:w="0" w:type="dxa"/>
            <w:right w:w="108" w:type="dxa"/>
          </w:tblCellMar>
        </w:tblPrEx>
        <w:trPr>
          <w:trHeight w:val="284" w:hRule="atLeast"/>
        </w:trPr>
        <w:tc>
          <w:tcPr>
            <w:tcW w:w="9357"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eastAsia" w:ascii="仿宋" w:hAnsi="仿宋" w:eastAsia="仿宋" w:cs="宋体"/>
                <w:b/>
                <w:bCs/>
                <w:color w:val="000000"/>
                <w:kern w:val="0"/>
                <w:sz w:val="22"/>
              </w:rPr>
            </w:pPr>
            <w:r>
              <w:rPr>
                <w:rFonts w:hint="eastAsia" w:ascii="仿宋" w:hAnsi="仿宋" w:eastAsia="仿宋" w:cs="宋体"/>
                <w:b/>
                <w:bCs/>
                <w:color w:val="000000"/>
                <w:kern w:val="0"/>
                <w:sz w:val="22"/>
              </w:rPr>
              <w:t>投标单位（章）                                           单位：人民币/元</w:t>
            </w:r>
          </w:p>
        </w:tc>
      </w:tr>
      <w:tr>
        <w:tblPrEx>
          <w:tblCellMar>
            <w:top w:w="0" w:type="dxa"/>
            <w:left w:w="108" w:type="dxa"/>
            <w:bottom w:w="0" w:type="dxa"/>
            <w:right w:w="108" w:type="dxa"/>
          </w:tblCellMar>
        </w:tblPrEx>
        <w:trPr>
          <w:trHeight w:val="815" w:hRule="exact"/>
        </w:trPr>
        <w:tc>
          <w:tcPr>
            <w:tcW w:w="73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 w:hAnsi="楷体" w:eastAsia="楷体" w:cs="宋体"/>
                <w:b/>
                <w:color w:val="000000"/>
                <w:kern w:val="0"/>
                <w:sz w:val="24"/>
                <w:szCs w:val="24"/>
              </w:rPr>
            </w:pPr>
            <w:r>
              <w:rPr>
                <w:rFonts w:hint="eastAsia" w:ascii="楷体" w:hAnsi="楷体" w:eastAsia="楷体" w:cs="宋体"/>
                <w:b/>
                <w:color w:val="000000"/>
                <w:kern w:val="0"/>
                <w:sz w:val="24"/>
                <w:szCs w:val="24"/>
              </w:rPr>
              <w:t>序号</w:t>
            </w:r>
          </w:p>
        </w:tc>
        <w:tc>
          <w:tcPr>
            <w:tcW w:w="2005" w:type="dxa"/>
            <w:tcBorders>
              <w:top w:val="nil"/>
              <w:left w:val="nil"/>
              <w:bottom w:val="single" w:color="auto" w:sz="4" w:space="0"/>
              <w:right w:val="single" w:color="auto" w:sz="4" w:space="0"/>
            </w:tcBorders>
            <w:shd w:val="clear" w:color="auto" w:fill="auto"/>
            <w:vAlign w:val="center"/>
          </w:tcPr>
          <w:p>
            <w:pPr>
              <w:widowControl/>
              <w:jc w:val="center"/>
              <w:rPr>
                <w:rFonts w:hint="eastAsia" w:ascii="楷体" w:hAnsi="楷体" w:eastAsia="楷体" w:cs="宋体"/>
                <w:b/>
                <w:color w:val="000000"/>
                <w:kern w:val="0"/>
                <w:sz w:val="24"/>
                <w:szCs w:val="24"/>
              </w:rPr>
            </w:pPr>
            <w:r>
              <w:rPr>
                <w:rFonts w:hint="eastAsia" w:ascii="楷体" w:hAnsi="楷体" w:eastAsia="楷体" w:cs="宋体"/>
                <w:b/>
                <w:color w:val="000000"/>
                <w:kern w:val="0"/>
                <w:sz w:val="24"/>
                <w:szCs w:val="24"/>
              </w:rPr>
              <w:t>名称</w:t>
            </w:r>
          </w:p>
        </w:tc>
        <w:tc>
          <w:tcPr>
            <w:tcW w:w="1593"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 w:hAnsi="楷体" w:eastAsia="楷体" w:cs="宋体"/>
                <w:b/>
                <w:color w:val="000000"/>
                <w:kern w:val="0"/>
                <w:sz w:val="24"/>
                <w:szCs w:val="24"/>
              </w:rPr>
            </w:pPr>
            <w:r>
              <w:rPr>
                <w:rFonts w:hint="eastAsia" w:ascii="楷体" w:hAnsi="楷体" w:eastAsia="楷体" w:cs="宋体"/>
                <w:b/>
                <w:color w:val="000000"/>
                <w:kern w:val="0"/>
                <w:sz w:val="24"/>
                <w:szCs w:val="24"/>
              </w:rPr>
              <w:t>规格</w:t>
            </w:r>
          </w:p>
        </w:tc>
        <w:tc>
          <w:tcPr>
            <w:tcW w:w="105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 w:hAnsi="楷体" w:eastAsia="楷体" w:cs="宋体"/>
                <w:b/>
                <w:color w:val="000000"/>
                <w:kern w:val="0"/>
                <w:sz w:val="24"/>
                <w:szCs w:val="24"/>
              </w:rPr>
            </w:pPr>
            <w:r>
              <w:rPr>
                <w:rFonts w:hint="eastAsia" w:ascii="楷体" w:hAnsi="楷体" w:eastAsia="楷体" w:cs="宋体"/>
                <w:b/>
                <w:color w:val="000000"/>
                <w:kern w:val="0"/>
                <w:sz w:val="24"/>
                <w:szCs w:val="24"/>
              </w:rPr>
              <w:t>数量</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 w:hAnsi="楷体" w:eastAsia="楷体" w:cs="宋体"/>
                <w:b/>
                <w:color w:val="000000"/>
                <w:kern w:val="0"/>
                <w:sz w:val="24"/>
                <w:szCs w:val="24"/>
              </w:rPr>
            </w:pPr>
            <w:r>
              <w:rPr>
                <w:rFonts w:hint="eastAsia" w:ascii="楷体" w:hAnsi="楷体" w:eastAsia="楷体" w:cs="宋体"/>
                <w:b/>
                <w:color w:val="000000"/>
                <w:kern w:val="0"/>
                <w:sz w:val="24"/>
                <w:szCs w:val="24"/>
              </w:rPr>
              <w:t>单价</w:t>
            </w:r>
          </w:p>
          <w:p>
            <w:pPr>
              <w:widowControl/>
              <w:jc w:val="center"/>
              <w:rPr>
                <w:rFonts w:hint="eastAsia" w:ascii="楷体" w:hAnsi="楷体" w:eastAsia="楷体" w:cs="宋体"/>
                <w:b/>
                <w:color w:val="000000"/>
                <w:kern w:val="0"/>
                <w:sz w:val="24"/>
                <w:szCs w:val="24"/>
              </w:rPr>
            </w:pPr>
            <w:r>
              <w:rPr>
                <w:rFonts w:hint="eastAsia" w:ascii="楷体" w:hAnsi="楷体" w:eastAsia="楷体" w:cs="宋体"/>
                <w:b/>
                <w:color w:val="000000"/>
                <w:kern w:val="0"/>
                <w:sz w:val="24"/>
                <w:szCs w:val="24"/>
              </w:rPr>
              <w:t>（含税）</w:t>
            </w:r>
          </w:p>
        </w:tc>
        <w:tc>
          <w:tcPr>
            <w:tcW w:w="1386"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 w:hAnsi="楷体" w:eastAsia="楷体" w:cs="宋体"/>
                <w:b/>
                <w:color w:val="000000"/>
                <w:kern w:val="0"/>
                <w:sz w:val="24"/>
                <w:szCs w:val="24"/>
              </w:rPr>
            </w:pPr>
            <w:r>
              <w:rPr>
                <w:rFonts w:hint="eastAsia" w:ascii="楷体" w:hAnsi="楷体" w:eastAsia="楷体" w:cs="宋体"/>
                <w:b/>
                <w:color w:val="000000"/>
                <w:kern w:val="0"/>
                <w:sz w:val="24"/>
                <w:szCs w:val="24"/>
              </w:rPr>
              <w:t>单价</w:t>
            </w:r>
          </w:p>
          <w:p>
            <w:pPr>
              <w:widowControl/>
              <w:jc w:val="center"/>
              <w:rPr>
                <w:rFonts w:hint="eastAsia" w:ascii="楷体" w:hAnsi="楷体" w:eastAsia="楷体" w:cs="宋体"/>
                <w:b/>
                <w:color w:val="000000"/>
                <w:kern w:val="0"/>
                <w:sz w:val="24"/>
                <w:szCs w:val="24"/>
              </w:rPr>
            </w:pPr>
            <w:r>
              <w:rPr>
                <w:rFonts w:hint="eastAsia" w:ascii="楷体" w:hAnsi="楷体" w:eastAsia="楷体" w:cs="宋体"/>
                <w:b/>
                <w:color w:val="000000"/>
                <w:kern w:val="0"/>
                <w:sz w:val="24"/>
                <w:szCs w:val="24"/>
              </w:rPr>
              <w:t>（不含税）</w:t>
            </w:r>
          </w:p>
        </w:tc>
        <w:tc>
          <w:tcPr>
            <w:tcW w:w="1300"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楷体" w:hAnsi="楷体" w:eastAsia="楷体" w:cs="宋体"/>
                <w:b/>
                <w:color w:val="000000"/>
                <w:kern w:val="0"/>
                <w:sz w:val="24"/>
                <w:szCs w:val="24"/>
              </w:rPr>
            </w:pPr>
            <w:r>
              <w:rPr>
                <w:rFonts w:hint="eastAsia" w:ascii="楷体" w:hAnsi="楷体" w:eastAsia="楷体" w:cs="宋体"/>
                <w:b/>
                <w:color w:val="000000"/>
                <w:kern w:val="0"/>
                <w:sz w:val="24"/>
                <w:szCs w:val="24"/>
              </w:rPr>
              <w:t>合计</w:t>
            </w:r>
          </w:p>
        </w:tc>
      </w:tr>
      <w:tr>
        <w:tblPrEx>
          <w:tblCellMar>
            <w:top w:w="0" w:type="dxa"/>
            <w:left w:w="108" w:type="dxa"/>
            <w:bottom w:w="0" w:type="dxa"/>
            <w:right w:w="108" w:type="dxa"/>
          </w:tblCellMar>
        </w:tblPrEx>
        <w:trPr>
          <w:trHeight w:val="880" w:hRule="exact"/>
        </w:trPr>
        <w:tc>
          <w:tcPr>
            <w:tcW w:w="73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楷体" w:hAnsi="楷体" w:eastAsia="楷体" w:cs="宋体"/>
                <w:color w:val="000000"/>
                <w:kern w:val="0"/>
                <w:sz w:val="28"/>
                <w:szCs w:val="28"/>
              </w:rPr>
            </w:pPr>
            <w:r>
              <w:rPr>
                <w:rFonts w:hint="eastAsia" w:ascii="楷体" w:hAnsi="楷体" w:eastAsia="楷体" w:cs="宋体"/>
                <w:color w:val="000000"/>
                <w:kern w:val="0"/>
                <w:sz w:val="28"/>
                <w:szCs w:val="28"/>
              </w:rPr>
              <w:t>1</w:t>
            </w:r>
          </w:p>
        </w:tc>
        <w:tc>
          <w:tcPr>
            <w:tcW w:w="2005" w:type="dxa"/>
            <w:tcBorders>
              <w:top w:val="nil"/>
              <w:left w:val="nil"/>
              <w:bottom w:val="single" w:color="auto" w:sz="4" w:space="0"/>
              <w:right w:val="single" w:color="auto" w:sz="4" w:space="0"/>
            </w:tcBorders>
            <w:shd w:val="clear" w:color="000000" w:fill="FFFFFF"/>
            <w:vAlign w:val="center"/>
          </w:tcPr>
          <w:p>
            <w:pPr>
              <w:widowControl/>
              <w:spacing w:line="300" w:lineRule="exact"/>
              <w:jc w:val="center"/>
              <w:rPr>
                <w:rFonts w:hint="eastAsia" w:ascii="楷体" w:hAnsi="楷体" w:eastAsia="楷体" w:cs="宋体"/>
                <w:color w:val="000000"/>
                <w:kern w:val="0"/>
                <w:sz w:val="24"/>
                <w:szCs w:val="24"/>
              </w:rPr>
            </w:pPr>
            <w:r>
              <w:rPr>
                <w:rFonts w:hint="eastAsia" w:ascii="仿宋" w:hAnsi="仿宋" w:eastAsia="仿宋" w:cs="仿宋"/>
                <w:szCs w:val="21"/>
              </w:rPr>
              <w:t>迈瑞 Mindray    半自动体外除颤器</w:t>
            </w:r>
          </w:p>
        </w:tc>
        <w:tc>
          <w:tcPr>
            <w:tcW w:w="1593"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eastAsia" w:ascii="楷体" w:hAnsi="楷体" w:eastAsia="楷体" w:cs="宋体"/>
                <w:color w:val="000000"/>
                <w:kern w:val="0"/>
                <w:sz w:val="28"/>
                <w:szCs w:val="28"/>
              </w:rPr>
            </w:pPr>
            <w:r>
              <w:rPr>
                <w:rFonts w:hint="eastAsia" w:ascii="仿宋" w:hAnsi="仿宋" w:eastAsia="仿宋" w:cs="仿宋"/>
                <w:szCs w:val="21"/>
              </w:rPr>
              <w:t xml:space="preserve"> BeneHeart S2</w:t>
            </w:r>
          </w:p>
        </w:tc>
        <w:tc>
          <w:tcPr>
            <w:tcW w:w="1058"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楷体" w:hAnsi="楷体" w:eastAsia="楷体" w:cs="宋体"/>
                <w:color w:val="000000"/>
                <w:kern w:val="0"/>
                <w:sz w:val="28"/>
                <w:szCs w:val="28"/>
                <w:lang w:val="en-US" w:eastAsia="zh-CN"/>
              </w:rPr>
            </w:pPr>
            <w:r>
              <w:rPr>
                <w:rFonts w:hint="eastAsia" w:ascii="楷体" w:hAnsi="楷体" w:eastAsia="楷体" w:cs="宋体"/>
                <w:color w:val="000000"/>
                <w:kern w:val="0"/>
                <w:sz w:val="28"/>
                <w:szCs w:val="28"/>
                <w:lang w:val="en-US" w:eastAsia="zh-CN"/>
              </w:rPr>
              <w:t>20</w:t>
            </w:r>
          </w:p>
        </w:tc>
        <w:tc>
          <w:tcPr>
            <w:tcW w:w="1276"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eastAsia" w:ascii="楷体" w:hAnsi="楷体" w:eastAsia="楷体" w:cs="宋体"/>
                <w:color w:val="000000"/>
                <w:kern w:val="0"/>
                <w:sz w:val="28"/>
                <w:szCs w:val="28"/>
              </w:rPr>
            </w:pPr>
            <w:r>
              <w:rPr>
                <w:rFonts w:hint="eastAsia" w:ascii="楷体" w:hAnsi="楷体" w:eastAsia="楷体" w:cs="宋体"/>
                <w:color w:val="000000"/>
                <w:kern w:val="0"/>
                <w:sz w:val="28"/>
                <w:szCs w:val="28"/>
              </w:rPr>
              <w:t>　</w:t>
            </w:r>
          </w:p>
        </w:tc>
        <w:tc>
          <w:tcPr>
            <w:tcW w:w="1386"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eastAsia" w:ascii="楷体" w:hAnsi="楷体" w:eastAsia="楷体" w:cs="宋体"/>
                <w:color w:val="000000"/>
                <w:kern w:val="0"/>
                <w:sz w:val="28"/>
                <w:szCs w:val="28"/>
              </w:rPr>
            </w:pPr>
            <w:r>
              <w:rPr>
                <w:rFonts w:hint="eastAsia" w:ascii="楷体" w:hAnsi="楷体" w:eastAsia="楷体" w:cs="宋体"/>
                <w:color w:val="000000"/>
                <w:kern w:val="0"/>
                <w:sz w:val="28"/>
                <w:szCs w:val="28"/>
              </w:rPr>
              <w:t>　</w:t>
            </w:r>
          </w:p>
        </w:tc>
        <w:tc>
          <w:tcPr>
            <w:tcW w:w="1300" w:type="dxa"/>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eastAsia" w:ascii="楷体" w:hAnsi="楷体" w:eastAsia="楷体" w:cs="宋体"/>
                <w:color w:val="000000"/>
                <w:kern w:val="0"/>
                <w:sz w:val="28"/>
                <w:szCs w:val="28"/>
              </w:rPr>
            </w:pPr>
          </w:p>
        </w:tc>
      </w:tr>
      <w:tr>
        <w:tblPrEx>
          <w:tblCellMar>
            <w:top w:w="0" w:type="dxa"/>
            <w:left w:w="108" w:type="dxa"/>
            <w:bottom w:w="0" w:type="dxa"/>
            <w:right w:w="108" w:type="dxa"/>
          </w:tblCellMar>
        </w:tblPrEx>
        <w:trPr>
          <w:trHeight w:val="2434" w:hRule="atLeast"/>
        </w:trPr>
        <w:tc>
          <w:tcPr>
            <w:tcW w:w="9357"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ascii="仿宋" w:hAnsi="仿宋" w:eastAsia="仿宋" w:cs="宋体"/>
                <w:b/>
                <w:bCs/>
                <w:color w:val="000000"/>
                <w:kern w:val="0"/>
                <w:sz w:val="22"/>
              </w:rPr>
            </w:pPr>
            <w:r>
              <w:rPr>
                <w:rFonts w:hint="eastAsia" w:ascii="仿宋" w:hAnsi="仿宋" w:eastAsia="仿宋" w:cs="宋体"/>
                <w:b/>
                <w:bCs/>
                <w:color w:val="000000"/>
                <w:kern w:val="0"/>
                <w:sz w:val="22"/>
              </w:rPr>
              <w:t>备注：</w:t>
            </w:r>
          </w:p>
        </w:tc>
      </w:tr>
    </w:tbl>
    <w:p/>
    <w:p>
      <w:pPr>
        <w:jc w:val="center"/>
        <w:rPr>
          <w:rFonts w:hint="eastAsia" w:eastAsia="黑体"/>
          <w:b/>
          <w:bCs/>
          <w:sz w:val="28"/>
        </w:rPr>
      </w:pPr>
    </w:p>
    <w:p>
      <w:pPr>
        <w:jc w:val="center"/>
        <w:rPr>
          <w:rFonts w:hint="eastAsia" w:eastAsia="黑体"/>
          <w:b/>
          <w:bCs/>
          <w:sz w:val="28"/>
        </w:rPr>
      </w:pPr>
    </w:p>
    <w:p>
      <w:pPr>
        <w:jc w:val="center"/>
        <w:rPr>
          <w:rFonts w:hint="eastAsia" w:eastAsia="黑体"/>
          <w:b/>
          <w:bCs/>
          <w:sz w:val="28"/>
        </w:rPr>
      </w:pPr>
    </w:p>
    <w:p>
      <w:pPr>
        <w:jc w:val="center"/>
        <w:rPr>
          <w:rFonts w:hint="eastAsia" w:eastAsia="黑体"/>
          <w:b/>
          <w:bCs/>
          <w:sz w:val="28"/>
        </w:rPr>
      </w:pPr>
    </w:p>
    <w:p>
      <w:pPr>
        <w:jc w:val="center"/>
        <w:rPr>
          <w:rFonts w:hint="eastAsia" w:eastAsia="黑体"/>
          <w:b/>
          <w:bCs/>
          <w:sz w:val="28"/>
        </w:rPr>
      </w:pPr>
    </w:p>
    <w:p>
      <w:pPr>
        <w:jc w:val="center"/>
        <w:rPr>
          <w:rFonts w:hint="eastAsia" w:eastAsia="黑体"/>
          <w:b/>
          <w:bCs/>
          <w:sz w:val="28"/>
        </w:rPr>
      </w:pPr>
    </w:p>
    <w:p>
      <w:pPr>
        <w:jc w:val="center"/>
        <w:rPr>
          <w:rFonts w:hint="eastAsia" w:eastAsia="黑体"/>
          <w:b/>
          <w:bCs/>
          <w:sz w:val="28"/>
        </w:rPr>
      </w:pPr>
    </w:p>
    <w:p>
      <w:pPr>
        <w:jc w:val="center"/>
        <w:rPr>
          <w:rFonts w:hint="eastAsia" w:eastAsia="黑体"/>
          <w:b/>
          <w:bCs/>
          <w:sz w:val="28"/>
        </w:rPr>
      </w:pPr>
    </w:p>
    <w:p>
      <w:pPr>
        <w:jc w:val="center"/>
        <w:rPr>
          <w:rFonts w:hint="eastAsia" w:eastAsia="黑体"/>
          <w:b/>
          <w:bCs/>
          <w:sz w:val="28"/>
        </w:rPr>
      </w:pPr>
    </w:p>
    <w:p>
      <w:pPr>
        <w:jc w:val="center"/>
        <w:rPr>
          <w:rFonts w:eastAsia="黑体"/>
          <w:b/>
          <w:bCs/>
          <w:sz w:val="28"/>
        </w:rPr>
      </w:pPr>
      <w:r>
        <w:rPr>
          <w:rFonts w:hint="eastAsia" w:eastAsia="黑体"/>
          <w:b/>
          <w:bCs/>
          <w:sz w:val="28"/>
        </w:rPr>
        <w:t>相关条款偏离表（含商务偏离及技术偏离）</w:t>
      </w:r>
    </w:p>
    <w:tbl>
      <w:tblPr>
        <w:tblStyle w:val="4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序号</w:t>
            </w:r>
          </w:p>
        </w:tc>
        <w:tc>
          <w:tcPr>
            <w:tcW w:w="4140" w:type="dxa"/>
            <w:gridSpan w:val="2"/>
            <w:vAlign w:val="center"/>
          </w:tcPr>
          <w:p>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招标文件条款</w:t>
            </w:r>
          </w:p>
        </w:tc>
        <w:tc>
          <w:tcPr>
            <w:tcW w:w="3554" w:type="dxa"/>
            <w:vMerge w:val="restart"/>
            <w:vAlign w:val="center"/>
          </w:tcPr>
          <w:p>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c>
          <w:tcPr>
            <w:tcW w:w="1080"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条款号</w:t>
            </w:r>
          </w:p>
        </w:tc>
        <w:tc>
          <w:tcPr>
            <w:tcW w:w="3060"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条款要求</w:t>
            </w:r>
          </w:p>
        </w:tc>
        <w:tc>
          <w:tcPr>
            <w:tcW w:w="3554" w:type="dxa"/>
            <w:vMerge w:val="continue"/>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080"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080"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080"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080"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080"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080"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080"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080"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080"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080"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pPr>
              <w:rPr>
                <w:rFonts w:hint="eastAsia" w:ascii="仿宋_GB2312" w:hAnsi="仿宋_GB2312" w:eastAsia="仿宋_GB2312" w:cs="仿宋_GB2312"/>
                <w:i w:val="0"/>
                <w:iCs w:val="0"/>
                <w:color w:val="000000"/>
                <w:kern w:val="0"/>
                <w:sz w:val="24"/>
                <w:szCs w:val="24"/>
                <w:u w:val="none"/>
                <w:lang w:val="en-US" w:eastAsia="zh-CN" w:bidi="ar"/>
              </w:rPr>
            </w:pPr>
          </w:p>
        </w:tc>
      </w:tr>
    </w:tbl>
    <w:p>
      <w:pPr>
        <w:rPr>
          <w:rFonts w:hint="eastAsia" w:ascii="仿宋_GB2312" w:hAnsi="仿宋_GB2312" w:eastAsia="仿宋_GB2312" w:cs="仿宋_GB2312"/>
          <w:i w:val="0"/>
          <w:iCs w:val="0"/>
          <w:color w:val="000000"/>
          <w:kern w:val="0"/>
          <w:sz w:val="24"/>
          <w:szCs w:val="24"/>
          <w:u w:val="none"/>
          <w:lang w:val="en-US" w:eastAsia="zh-CN" w:bidi="ar"/>
        </w:rPr>
      </w:pPr>
    </w:p>
    <w:p>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投标人名称（盖章）：              法定代表人或授权代表签字：</w:t>
      </w:r>
    </w:p>
    <w:p>
      <w:pPr>
        <w:rPr>
          <w:rFonts w:hint="eastAsia" w:ascii="仿宋_GB2312" w:hAnsi="仿宋_GB2312" w:eastAsia="仿宋_GB2312" w:cs="仿宋_GB2312"/>
          <w:i w:val="0"/>
          <w:iCs w:val="0"/>
          <w:color w:val="000000"/>
          <w:kern w:val="0"/>
          <w:sz w:val="24"/>
          <w:szCs w:val="24"/>
          <w:u w:val="none"/>
          <w:lang w:val="en-US" w:eastAsia="zh-CN" w:bidi="ar"/>
        </w:rPr>
      </w:pPr>
    </w:p>
    <w:p>
      <w:pPr>
        <w:rPr>
          <w:rFonts w:hint="eastAsia" w:ascii="仿宋_GB2312" w:hAnsi="仿宋_GB2312" w:eastAsia="仿宋_GB2312" w:cs="仿宋_GB2312"/>
          <w:i w:val="0"/>
          <w:iCs w:val="0"/>
          <w:color w:val="000000"/>
          <w:kern w:val="0"/>
          <w:sz w:val="24"/>
          <w:szCs w:val="24"/>
          <w:u w:val="none"/>
          <w:lang w:val="en-US" w:eastAsia="zh-CN" w:bidi="ar"/>
        </w:rPr>
      </w:pPr>
    </w:p>
    <w:p>
      <w:pPr>
        <w:rPr>
          <w:rFonts w:hint="eastAsia" w:hAnsi="宋体" w:eastAsia="宋体" w:cs="宋体"/>
          <w:b/>
          <w:bCs/>
          <w:color w:val="000000"/>
          <w:sz w:val="24"/>
          <w:szCs w:val="24"/>
          <w:highlight w:val="none"/>
        </w:rPr>
      </w:pPr>
      <w:r>
        <w:rPr>
          <w:rFonts w:hint="eastAsia" w:ascii="仿宋_GB2312" w:hAnsi="仿宋_GB2312" w:eastAsia="仿宋_GB2312" w:cs="仿宋_GB2312"/>
          <w:i w:val="0"/>
          <w:iCs w:val="0"/>
          <w:color w:val="000000"/>
          <w:kern w:val="0"/>
          <w:sz w:val="24"/>
          <w:szCs w:val="24"/>
          <w:u w:val="none"/>
          <w:lang w:val="en-US" w:eastAsia="zh-CN" w:bidi="ar"/>
        </w:rPr>
        <w:t>注：为避免歧义，无偏离也应要提报该表，并注明“无”字。如无该表则即使在其它部分已反映，将也被视为“无偏离”。</w:t>
      </w:r>
      <w:r>
        <w:rPr>
          <w:rFonts w:hint="eastAsia" w:hAnsi="宋体" w:eastAsia="宋体" w:cs="宋体"/>
          <w:b/>
          <w:bCs/>
          <w:color w:val="000000"/>
          <w:sz w:val="24"/>
          <w:szCs w:val="24"/>
          <w:highlight w:val="none"/>
        </w:rPr>
        <w:br w:type="page"/>
      </w:r>
    </w:p>
    <w:p>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758815" cy="2764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6" cstate="print"/>
                    <a:srcRect/>
                    <a:stretch>
                      <a:fillRect/>
                    </a:stretch>
                  </pic:blipFill>
                  <pic:spPr>
                    <a:xfrm>
                      <a:off x="0" y="0"/>
                      <a:ext cx="5760085" cy="2933065"/>
                    </a:xfrm>
                    <a:prstGeom prst="rect">
                      <a:avLst/>
                    </a:prstGeom>
                  </pic:spPr>
                </pic:pic>
              </a:graphicData>
            </a:graphic>
          </wp:inline>
        </w:drawing>
      </w:r>
    </w:p>
    <w:p>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pPr>
        <w:spacing w:line="360" w:lineRule="auto"/>
        <w:rPr>
          <w:rFonts w:ascii="宋体" w:hAnsi="宋体" w:eastAsia="宋体" w:cs="宋体"/>
          <w:sz w:val="24"/>
          <w:szCs w:val="28"/>
        </w:rPr>
      </w:pPr>
    </w:p>
    <w:p>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7"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8"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9" cstate="print"/>
                    <a:srcRect/>
                    <a:stretch>
                      <a:fillRect/>
                    </a:stretch>
                  </pic:blipFill>
                  <pic:spPr>
                    <a:xfrm>
                      <a:off x="0" y="0"/>
                      <a:ext cx="5760085" cy="2853055"/>
                    </a:xfrm>
                    <a:prstGeom prst="rect">
                      <a:avLst/>
                    </a:prstGeom>
                  </pic:spPr>
                </pic:pic>
              </a:graphicData>
            </a:graphic>
          </wp:inline>
        </w:drawing>
      </w:r>
    </w:p>
    <w:p>
      <w:pPr>
        <w:numPr>
          <w:ilvl w:val="0"/>
          <w:numId w:val="13"/>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0"/>
                    <a:stretch>
                      <a:fillRect/>
                    </a:stretch>
                  </pic:blipFill>
                  <pic:spPr>
                    <a:xfrm>
                      <a:off x="0" y="0"/>
                      <a:ext cx="5758180" cy="305879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安全消防</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5"/>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pPr>
        <w:outlineLvl w:val="9"/>
        <w:rPr>
          <w:rFonts w:hint="default"/>
          <w:lang w:val="en-US" w:eastAsia="zh-CN"/>
        </w:rPr>
        <w:sectPr>
          <w:headerReference r:id="rId9" w:type="first"/>
          <w:footerReference r:id="rId11" w:type="first"/>
          <w:headerReference r:id="rId8" w:type="default"/>
          <w:footerReference r:id="rId1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5486400" cy="2661285"/>
                    </a:xfrm>
                    <a:prstGeom prst="rect">
                      <a:avLst/>
                    </a:prstGeom>
                    <a:noFill/>
                    <a:ln>
                      <a:noFill/>
                    </a:ln>
                  </pic:spPr>
                </pic:pic>
              </a:graphicData>
            </a:graphic>
          </wp:inline>
        </w:drawing>
      </w:r>
    </w:p>
    <w:p>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3" cstate="print"/>
                    <a:srcRect/>
                    <a:stretch>
                      <a:fillRect/>
                    </a:stretch>
                  </pic:blipFill>
                  <pic:spPr>
                    <a:xfrm>
                      <a:off x="0" y="0"/>
                      <a:ext cx="5760085" cy="2269490"/>
                    </a:xfrm>
                    <a:prstGeom prst="rect">
                      <a:avLst/>
                    </a:prstGeom>
                  </pic:spPr>
                </pic:pic>
              </a:graphicData>
            </a:graphic>
          </wp:inline>
        </w:drawing>
      </w:r>
    </w:p>
    <w:p>
      <w:pPr>
        <w:pStyle w:val="24"/>
      </w:pPr>
    </w:p>
    <w:p>
      <w:pPr>
        <w:pStyle w:val="24"/>
      </w:pPr>
      <w:r>
        <w:rPr>
          <w:rFonts w:hint="eastAsia" w:cs="Times New Roman"/>
          <w:b/>
          <w:bCs/>
          <w:highlight w:val="none"/>
          <w:lang w:val="en-US" w:eastAsia="zh-CN"/>
        </w:rPr>
        <w:t>2、应标页面否为代理商请如实选择，若为代理商应标，请在应标后联系商务联系人</w:t>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4"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5"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6"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7"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8" cstate="print"/>
                    <a:srcRect/>
                    <a:stretch>
                      <a:fillRect/>
                    </a:stretch>
                  </pic:blipFill>
                  <pic:spPr>
                    <a:xfrm>
                      <a:off x="0" y="0"/>
                      <a:ext cx="5760085" cy="1956435"/>
                    </a:xfrm>
                    <a:prstGeom prst="rect">
                      <a:avLst/>
                    </a:prstGeom>
                  </pic:spPr>
                </pic:pic>
              </a:graphicData>
            </a:graphic>
          </wp:inline>
        </w:drawing>
      </w:r>
    </w:p>
    <w:p>
      <w:pPr>
        <w:pStyle w:val="24"/>
        <w:rPr>
          <w:rFonts w:hAnsi="宋体" w:eastAsia="宋体" w:cs="Times New Roman"/>
          <w:b/>
          <w:color w:val="000000"/>
          <w:sz w:val="24"/>
          <w:szCs w:val="24"/>
        </w:rPr>
      </w:pPr>
    </w:p>
    <w:p>
      <w:pPr>
        <w:pStyle w:val="24"/>
        <w:rPr>
          <w:rFonts w:hAnsi="宋体" w:eastAsia="宋体" w:cs="Times New Roman"/>
          <w:b/>
          <w:color w:val="000000"/>
          <w:sz w:val="24"/>
          <w:szCs w:val="24"/>
        </w:rPr>
      </w:pPr>
    </w:p>
    <w:p>
      <w:pPr>
        <w:rPr>
          <w:rFonts w:hint="default" w:ascii="宋体" w:hAnsi="宋体" w:eastAsia="宋体" w:cs="宋体"/>
          <w:sz w:val="24"/>
          <w:szCs w:val="24"/>
          <w:lang w:val="en-US"/>
        </w:rPr>
      </w:pPr>
    </w:p>
    <w:p>
      <w:pPr>
        <w:pStyle w:val="223"/>
        <w:ind w:left="0" w:leftChars="0" w:right="960" w:firstLine="0" w:firstLineChars="0"/>
        <w:jc w:val="both"/>
        <w:rPr>
          <w:rFonts w:hint="eastAsia" w:asciiTheme="minorEastAsia" w:hAnsiTheme="minorEastAsia" w:eastAsiaTheme="minorEastAsia" w:cstheme="minorEastAsia"/>
        </w:rPr>
      </w:pPr>
    </w:p>
    <w:sectPr>
      <w:headerReference r:id="rId12" w:type="default"/>
      <w:footerReference r:id="rId1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仿宋_GB2312">
    <w:altName w:val="汉仪仿宋KW"/>
    <w:panose1 w:val="02010609030101010101"/>
    <w:charset w:val="86"/>
    <w:family w:val="modern"/>
    <w:pitch w:val="default"/>
    <w:sig w:usb0="00000000" w:usb1="00000000" w:usb2="00000000" w:usb3="00000000" w:csb0="00040000" w:csb1="00000000"/>
  </w:font>
  <w:font w:name="??">
    <w:altName w:val="汉仪中黑KW"/>
    <w:panose1 w:val="00000000000000000000"/>
    <w:charset w:val="86"/>
    <w:family w:val="auto"/>
    <w:pitch w:val="default"/>
    <w:sig w:usb0="00000000" w:usb1="00000000" w:usb2="00000010" w:usb3="00000000" w:csb0="00040000" w:csb1="00000000"/>
  </w:font>
  <w:font w:name="楷体_GB2312">
    <w:altName w:val="汉仪楷体KW"/>
    <w:panose1 w:val="02010609030101010101"/>
    <w:charset w:val="86"/>
    <w:family w:val="modern"/>
    <w:pitch w:val="default"/>
    <w:sig w:usb0="00000000" w:usb1="00000000" w:usb2="00000000" w:usb3="00000000" w:csb0="00040000" w:csb1="00000000"/>
  </w:font>
  <w:font w:name="MingLiU">
    <w:altName w:val="汉仪书宋二KW"/>
    <w:panose1 w:val="02010609000101010101"/>
    <w:charset w:val="88"/>
    <w:family w:val="modern"/>
    <w:pitch w:val="default"/>
    <w:sig w:usb0="00000000" w:usb1="00000000" w:usb2="00000010" w:usb3="00000000" w:csb0="00100000" w:csb1="00000000"/>
  </w:font>
  <w:font w:name="Tahoma">
    <w:altName w:val="Verdana"/>
    <w:panose1 w:val="020B0604030504040204"/>
    <w:charset w:val="00"/>
    <w:family w:val="swiss"/>
    <w:pitch w:val="default"/>
    <w:sig w:usb0="00000000" w:usb1="00000000"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汉仪书宋二KW"/>
    <w:panose1 w:val="02030600000101010101"/>
    <w:charset w:val="81"/>
    <w:family w:val="auto"/>
    <w:pitch w:val="default"/>
    <w:sig w:usb0="00000000" w:usb1="00000000" w:usb2="00000010" w:usb3="00000000" w:csb0="00080000" w:csb1="00000000"/>
  </w:font>
  <w:font w:name="Tms Rmn">
    <w:altName w:val="Liberation Serif"/>
    <w:panose1 w:val="02020603040505020304"/>
    <w:charset w:val="00"/>
    <w:family w:val="roman"/>
    <w:pitch w:val="default"/>
    <w:sig w:usb0="00000000" w:usb1="00000000" w:usb2="00000000" w:usb3="00000000" w:csb0="00000001" w:csb1="00000000"/>
  </w:font>
  <w:font w:name="MS Gothic">
    <w:altName w:val="汉仪书宋二KW"/>
    <w:panose1 w:val="020B0609070205080204"/>
    <w:charset w:val="80"/>
    <w:family w:val="modern"/>
    <w:pitch w:val="default"/>
    <w:sig w:usb0="00000000" w:usb1="00000000" w:usb2="08000012" w:usb3="00000000" w:csb0="4002009F" w:csb1="DFD70000"/>
  </w:font>
  <w:font w:name="CG Times (WN)">
    <w:altName w:val="Times New Roman"/>
    <w:panose1 w:val="00000000000000000000"/>
    <w:charset w:val="00"/>
    <w:family w:val="roman"/>
    <w:pitch w:val="default"/>
    <w:sig w:usb0="00000000" w:usb1="00000000" w:usb2="00000000" w:usb3="00000000" w:csb0="00000001" w:csb1="00000000"/>
  </w:font>
  <w:font w:name="微软雅黑">
    <w:altName w:val="汉仪旗黑KW 55S"/>
    <w:panose1 w:val="020B0503020204020204"/>
    <w:charset w:val="86"/>
    <w:family w:val="auto"/>
    <w:pitch w:val="default"/>
    <w:sig w:usb0="00000000" w:usb1="00000000" w:usb2="00000016" w:usb3="00000000" w:csb0="0004001F" w:csb1="00000000"/>
  </w:font>
  <w:font w:name="仿宋">
    <w:altName w:val="汉仪仿宋KW"/>
    <w:panose1 w:val="02010609060101010101"/>
    <w:charset w:val="86"/>
    <w:family w:val="auto"/>
    <w:pitch w:val="default"/>
    <w:sig w:usb0="00000000" w:usb1="00000000" w:usb2="00000016" w:usb3="00000000" w:csb0="00040001" w:csb1="00000000"/>
  </w:font>
  <w:font w:name="等线">
    <w:altName w:val="汉仪中等线KW"/>
    <w:panose1 w:val="02010600030101010101"/>
    <w:charset w:val="86"/>
    <w:family w:val="auto"/>
    <w:pitch w:val="default"/>
    <w:sig w:usb0="00000000" w:usb1="00000000" w:usb2="00000016" w:usb3="00000000" w:csb0="0004000F" w:csb1="00000000"/>
  </w:font>
  <w:font w:name="Wingdings 2">
    <w:altName w:val="Kingsoft Mark"/>
    <w:panose1 w:val="05020102010507070707"/>
    <w:charset w:val="02"/>
    <w:family w:val="roman"/>
    <w:pitch w:val="default"/>
    <w:sig w:usb0="00000000" w:usb1="00000000" w:usb2="00000000" w:usb3="00000000" w:csb0="80000000" w:csb1="00000000"/>
  </w:font>
  <w:font w:name="楷体">
    <w:altName w:val="汉仪楷体KW"/>
    <w:panose1 w:val="02010609060101010101"/>
    <w:charset w:val="86"/>
    <w:family w:val="auto"/>
    <w:pitch w:val="default"/>
    <w:sig w:usb0="00000000" w:usb1="00000000" w:usb2="00000016" w:usb3="00000000" w:csb0="00040001" w:csb1="00000000"/>
  </w:font>
  <w:font w:name="Georgia">
    <w:panose1 w:val="02040502050405020303"/>
    <w:charset w:val="00"/>
    <w:family w:val="auto"/>
    <w:pitch w:val="default"/>
    <w:sig w:usb0="00000287" w:usb1="00000000" w:usb2="00000000" w:usb3="00000000" w:csb0="2000009F" w:csb1="00000000"/>
  </w:font>
  <w:font w:name="汉仪仿宋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Verdana">
    <w:panose1 w:val="020B0604030504040204"/>
    <w:charset w:val="00"/>
    <w:family w:val="auto"/>
    <w:pitch w:val="default"/>
    <w:sig w:usb0="A10006FF" w:usb1="4000205B" w:usb2="00000010" w:usb3="00000000" w:csb0="2000019F" w:csb1="00000000"/>
  </w:font>
  <w:font w:name="Liberation Serif">
    <w:panose1 w:val="02020603050405020304"/>
    <w:charset w:val="00"/>
    <w:family w:val="auto"/>
    <w:pitch w:val="default"/>
    <w:sig w:usb0="A00002AF" w:usb1="500078FB" w:usb2="00000000" w:usb3="00000000" w:csb0="6000009F" w:csb1="DFD70000"/>
  </w:font>
  <w:font w:name="汉仪旗黑KW 55S">
    <w:panose1 w:val="00020600040101010101"/>
    <w:charset w:val="86"/>
    <w:family w:val="auto"/>
    <w:pitch w:val="default"/>
    <w:sig w:usb0="A00002BF" w:usb1="3ACF7CFA" w:usb2="00000016" w:usb3="00000000" w:csb0="0004009F" w:csb1="DFD70000"/>
  </w:font>
  <w:font w:name="汉仪中等线KW">
    <w:panose1 w:val="01010104010101010101"/>
    <w:charset w:val="86"/>
    <w:family w:val="auto"/>
    <w:pitch w:val="default"/>
    <w:sig w:usb0="800002BF" w:usb1="004F7CFA" w:usb2="00000000" w:usb3="00000000" w:csb0="00040001" w:csb1="00000000"/>
  </w:font>
  <w:font w:name="Kingsoft Mark">
    <w:panose1 w:val="05030102010509060703"/>
    <w:charset w:val="00"/>
    <w:family w:val="auto"/>
    <w:pitch w:val="default"/>
    <w:sig w:usb0="00000000" w:usb1="00000000" w:usb2="00000000" w:usb3="00000000" w:csb0="80000000" w:csb1="00000000"/>
  </w:font>
  <w:font w:name="汉仪君黑KW 55J">
    <w:panose1 w:val="00020600040101010101"/>
    <w:charset w:val="86"/>
    <w:family w:val="auto"/>
    <w:pitch w:val="default"/>
    <w:sig w:usb0="A00002BF" w:usb1="0A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p>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232A6B"/>
    <w:multiLevelType w:val="singleLevel"/>
    <w:tmpl w:val="C3232A6B"/>
    <w:lvl w:ilvl="0" w:tentative="0">
      <w:start w:val="1"/>
      <w:numFmt w:val="chineseCounting"/>
      <w:suff w:val="nothing"/>
      <w:lvlText w:val="%1、"/>
      <w:lvlJc w:val="left"/>
      <w:rPr>
        <w:rFonts w:hint="eastAsia"/>
      </w:rPr>
    </w:lvl>
  </w:abstractNum>
  <w:abstractNum w:abstractNumId="1">
    <w:nsid w:val="D056AA3C"/>
    <w:multiLevelType w:val="singleLevel"/>
    <w:tmpl w:val="D056AA3C"/>
    <w:lvl w:ilvl="0" w:tentative="0">
      <w:start w:val="4"/>
      <w:numFmt w:val="chineseCounting"/>
      <w:suff w:val="nothing"/>
      <w:lvlText w:val="%1、"/>
      <w:lvlJc w:val="left"/>
      <w:rPr>
        <w:rFonts w:hint="eastAsia"/>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2D465DF"/>
    <w:multiLevelType w:val="singleLevel"/>
    <w:tmpl w:val="22D465DF"/>
    <w:lvl w:ilvl="0" w:tentative="0">
      <w:start w:val="1"/>
      <w:numFmt w:val="chineseCounting"/>
      <w:suff w:val="nothing"/>
      <w:lvlText w:val="%1、"/>
      <w:lvlJc w:val="left"/>
      <w:pPr>
        <w:ind w:left="0" w:firstLine="420"/>
      </w:pPr>
      <w:rPr>
        <w:rFonts w:hint="eastAsia"/>
      </w:rPr>
    </w:lvl>
  </w:abstractNum>
  <w:abstractNum w:abstractNumId="7">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4C897059"/>
    <w:multiLevelType w:val="multilevel"/>
    <w:tmpl w:val="4C897059"/>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0">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6CC78F37"/>
    <w:multiLevelType w:val="multilevel"/>
    <w:tmpl w:val="6CC78F37"/>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13">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0"/>
  </w:num>
  <w:num w:numId="2">
    <w:abstractNumId w:val="4"/>
  </w:num>
  <w:num w:numId="3">
    <w:abstractNumId w:val="11"/>
  </w:num>
  <w:num w:numId="4">
    <w:abstractNumId w:val="14"/>
  </w:num>
  <w:num w:numId="5">
    <w:abstractNumId w:val="7"/>
  </w:num>
  <w:num w:numId="6">
    <w:abstractNumId w:val="5"/>
  </w:num>
  <w:num w:numId="7">
    <w:abstractNumId w:val="13"/>
  </w:num>
  <w:num w:numId="8">
    <w:abstractNumId w:val="0"/>
  </w:num>
  <w:num w:numId="9">
    <w:abstractNumId w:val="6"/>
  </w:num>
  <w:num w:numId="10">
    <w:abstractNumId w:val="9"/>
  </w:num>
  <w:num w:numId="11">
    <w:abstractNumId w:val="12"/>
  </w:num>
  <w:num w:numId="12">
    <w:abstractNumId w:val="1"/>
  </w:num>
  <w:num w:numId="13">
    <w:abstractNumId w:val="3"/>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56352C"/>
    <w:rsid w:val="02E74D14"/>
    <w:rsid w:val="02FC5AB3"/>
    <w:rsid w:val="035E6B0B"/>
    <w:rsid w:val="04B15209"/>
    <w:rsid w:val="04D70225"/>
    <w:rsid w:val="05160EF2"/>
    <w:rsid w:val="068F55E3"/>
    <w:rsid w:val="06930081"/>
    <w:rsid w:val="09756E61"/>
    <w:rsid w:val="0A985E16"/>
    <w:rsid w:val="0AE0655C"/>
    <w:rsid w:val="0BEB0202"/>
    <w:rsid w:val="0D326CC2"/>
    <w:rsid w:val="0D5079C9"/>
    <w:rsid w:val="0EA03360"/>
    <w:rsid w:val="10F17C33"/>
    <w:rsid w:val="10FE7942"/>
    <w:rsid w:val="13451748"/>
    <w:rsid w:val="1378147A"/>
    <w:rsid w:val="13D35827"/>
    <w:rsid w:val="1868332D"/>
    <w:rsid w:val="1C356B51"/>
    <w:rsid w:val="1DA82577"/>
    <w:rsid w:val="1E1170AC"/>
    <w:rsid w:val="20D07DE0"/>
    <w:rsid w:val="22A44CDF"/>
    <w:rsid w:val="24552511"/>
    <w:rsid w:val="25F44B01"/>
    <w:rsid w:val="2698099F"/>
    <w:rsid w:val="29542197"/>
    <w:rsid w:val="29C928E7"/>
    <w:rsid w:val="2A7C02EC"/>
    <w:rsid w:val="2A8F7CD5"/>
    <w:rsid w:val="2B3F4DD2"/>
    <w:rsid w:val="2B9654FA"/>
    <w:rsid w:val="2BCE4483"/>
    <w:rsid w:val="2CD51841"/>
    <w:rsid w:val="2DD3682B"/>
    <w:rsid w:val="2E7345D1"/>
    <w:rsid w:val="331B0BF0"/>
    <w:rsid w:val="353F5A8C"/>
    <w:rsid w:val="36DE1355"/>
    <w:rsid w:val="393D26BB"/>
    <w:rsid w:val="3A5B7C10"/>
    <w:rsid w:val="3C3170AD"/>
    <w:rsid w:val="3D9C2881"/>
    <w:rsid w:val="3F801B0E"/>
    <w:rsid w:val="413C1020"/>
    <w:rsid w:val="41A55A6F"/>
    <w:rsid w:val="429D2840"/>
    <w:rsid w:val="46F41277"/>
    <w:rsid w:val="473E02B7"/>
    <w:rsid w:val="48A82A9E"/>
    <w:rsid w:val="498413E9"/>
    <w:rsid w:val="4A082E0A"/>
    <w:rsid w:val="4AC268B8"/>
    <w:rsid w:val="4B985ABC"/>
    <w:rsid w:val="4CC51E60"/>
    <w:rsid w:val="4CD949FD"/>
    <w:rsid w:val="4F4A4FC8"/>
    <w:rsid w:val="50673DE8"/>
    <w:rsid w:val="50D74B46"/>
    <w:rsid w:val="51654692"/>
    <w:rsid w:val="54D67D81"/>
    <w:rsid w:val="54D7260C"/>
    <w:rsid w:val="558A46C7"/>
    <w:rsid w:val="577A7916"/>
    <w:rsid w:val="57E02431"/>
    <w:rsid w:val="58055C15"/>
    <w:rsid w:val="58207565"/>
    <w:rsid w:val="586236D9"/>
    <w:rsid w:val="58AE4B70"/>
    <w:rsid w:val="5AA3574A"/>
    <w:rsid w:val="5B316C0F"/>
    <w:rsid w:val="5C58107B"/>
    <w:rsid w:val="5F377063"/>
    <w:rsid w:val="5FF411EE"/>
    <w:rsid w:val="61776447"/>
    <w:rsid w:val="62E50A5D"/>
    <w:rsid w:val="633A3E82"/>
    <w:rsid w:val="63FD52B4"/>
    <w:rsid w:val="652561BA"/>
    <w:rsid w:val="673F2C72"/>
    <w:rsid w:val="675114E9"/>
    <w:rsid w:val="68C06BDA"/>
    <w:rsid w:val="69F8009E"/>
    <w:rsid w:val="6AB76068"/>
    <w:rsid w:val="6BA455E6"/>
    <w:rsid w:val="6C18382E"/>
    <w:rsid w:val="6C9132F0"/>
    <w:rsid w:val="6CA0145A"/>
    <w:rsid w:val="6D5B701C"/>
    <w:rsid w:val="6D7D21FC"/>
    <w:rsid w:val="6D8937F5"/>
    <w:rsid w:val="736A2597"/>
    <w:rsid w:val="74995770"/>
    <w:rsid w:val="75CD3E17"/>
    <w:rsid w:val="76683156"/>
    <w:rsid w:val="79392733"/>
    <w:rsid w:val="7A8F4EBB"/>
    <w:rsid w:val="7B802C44"/>
    <w:rsid w:val="7D2F405D"/>
    <w:rsid w:val="7FC91276"/>
    <w:rsid w:val="DFEE0BD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link w:val="77"/>
    <w:qFormat/>
    <w:uiPriority w:val="99"/>
    <w:rPr>
      <w:sz w:val="24"/>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7"/>
    <w:next w:val="17"/>
    <w:link w:val="120"/>
    <w:qFormat/>
    <w:uiPriority w:val="0"/>
    <w:pPr>
      <w:adjustRightInd/>
      <w:spacing w:line="240" w:lineRule="auto"/>
      <w:textAlignment w:val="auto"/>
    </w:pPr>
  </w:style>
  <w:style w:type="paragraph" w:styleId="46">
    <w:name w:val="Body Text First Indent"/>
    <w:basedOn w:val="19"/>
    <w:link w:val="121"/>
    <w:qFormat/>
    <w:uiPriority w:val="0"/>
    <w:pPr>
      <w:spacing w:after="120"/>
      <w:ind w:firstLine="420" w:firstLineChars="100"/>
    </w:pPr>
    <w:rPr>
      <w:rFonts w:ascii="宋体" w:hAnsi="宋体"/>
      <w:color w:val="000000"/>
      <w:lang w:val="zh-CN"/>
    </w:rPr>
  </w:style>
  <w:style w:type="paragraph" w:styleId="47">
    <w:name w:val="Body Text First Indent 2"/>
    <w:basedOn w:val="20"/>
    <w:next w:val="1"/>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qFormat/>
    <w:uiPriority w:val="1"/>
    <w:rPr>
      <w:rFonts w:ascii="宋体" w:hAnsi="宋体" w:eastAsia="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character" w:customStyle="1" w:styleId="235">
    <w:name w:val="font21"/>
    <w:basedOn w:val="50"/>
    <w:qFormat/>
    <w:uiPriority w:val="0"/>
    <w:rPr>
      <w:rFonts w:hint="eastAsia" w:ascii="宋体" w:hAnsi="宋体" w:eastAsia="宋体" w:cs="宋体"/>
      <w:color w:val="000000"/>
      <w:sz w:val="24"/>
      <w:szCs w:val="24"/>
      <w:u w:val="none"/>
    </w:rPr>
  </w:style>
  <w:style w:type="character" w:customStyle="1" w:styleId="236">
    <w:name w:val="font11"/>
    <w:basedOn w:val="50"/>
    <w:qFormat/>
    <w:uiPriority w:val="0"/>
    <w:rPr>
      <w:rFonts w:hint="eastAsia" w:ascii="宋体" w:hAnsi="宋体" w:eastAsia="宋体" w:cs="宋体"/>
      <w:color w:val="000000"/>
      <w:sz w:val="24"/>
      <w:szCs w:val="24"/>
      <w:u w:val="single"/>
    </w:rPr>
  </w:style>
  <w:style w:type="paragraph" w:customStyle="1" w:styleId="237">
    <w:name w:val="首行缩进"/>
    <w:basedOn w:val="1"/>
    <w:qFormat/>
    <w:uiPriority w:val="0"/>
    <w:pPr>
      <w:spacing w:line="360" w:lineRule="auto"/>
      <w:ind w:firstLine="480" w:firstLineChars="200"/>
    </w:pPr>
    <w:rPr>
      <w:rFonts w:ascii="宋体" w:hAnsi="宋体" w:cs="宋体"/>
      <w:kern w:val="0"/>
      <w:sz w:val="24"/>
    </w:rPr>
  </w:style>
  <w:style w:type="paragraph" w:customStyle="1" w:styleId="238">
    <w:name w:val="标书表格"/>
    <w:basedOn w:val="1"/>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微软中国</Company>
  <Pages>26</Pages>
  <Words>8990</Words>
  <Characters>9378</Characters>
  <Lines>52</Lines>
  <Paragraphs>14</Paragraphs>
  <TotalTime>1</TotalTime>
  <ScaleCrop>false</ScaleCrop>
  <LinksUpToDate>false</LinksUpToDate>
  <CharactersWithSpaces>9808</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2025-05-19T10:18:00Z</dcterms:created>
  <dc:creator>zhl</dc:creator>
  <cp:lastModifiedBy>赵旭</cp:lastModifiedBy>
  <cp:lastPrinted>2020-01-08T14:44:00Z</cp:lastPrinted>
  <dcterms:modified xsi:type="dcterms:W3CDTF">2026-02-28T14:04:30Z</dcterms:modified>
  <dc:title>招标文件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Base Target">
    <vt:lpwstr>_blank</vt:lpwstr>
  </property>
  <property fmtid="{D5CDD505-2E9C-101B-9397-08002B2CF9AE}" pid="4" name="ICV">
    <vt:lpwstr>22304F94B46B46CE92574CA2C0C3D3DD_13</vt:lpwstr>
  </property>
  <property fmtid="{D5CDD505-2E9C-101B-9397-08002B2CF9AE}" pid="5" name="KSOTemplateDocerSaveRecord">
    <vt:lpwstr>eyJoZGlkIjoiZDYyOWQyNGI2YTk0YTkyM2JiNWFiZDU2OTE1ODgzYTEiLCJ1c2VySWQiOiI0Mjk1MDYxNzMifQ==</vt:lpwstr>
  </property>
</Properties>
</file>